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CD" w:rsidRPr="0003693C" w:rsidRDefault="004B0CCD" w:rsidP="0003693C">
      <w:pPr>
        <w:pStyle w:val="Heading1"/>
        <w:rPr>
          <w:rStyle w:val="A2"/>
          <w:rFonts w:asciiTheme="majorHAnsi" w:hAnsiTheme="majorHAnsi"/>
          <w:color w:val="365F91" w:themeColor="accent1" w:themeShade="BF"/>
        </w:rPr>
      </w:pPr>
      <w:bookmarkStart w:id="0" w:name="_GoBack"/>
      <w:bookmarkEnd w:id="0"/>
      <w:r w:rsidRPr="0003693C">
        <w:rPr>
          <w:rStyle w:val="A2"/>
          <w:rFonts w:asciiTheme="majorHAnsi" w:hAnsiTheme="majorHAnsi"/>
          <w:color w:val="365F91" w:themeColor="accent1" w:themeShade="BF"/>
        </w:rPr>
        <w:t>Action plan</w:t>
      </w:r>
    </w:p>
    <w:p w:rsidR="00C44B6C" w:rsidRPr="003C154C" w:rsidRDefault="00C44B6C" w:rsidP="00C44B6C">
      <w:pPr>
        <w:spacing w:line="240" w:lineRule="auto"/>
        <w:rPr>
          <w:rFonts w:ascii="Arial" w:hAnsi="Arial" w:cs="Arial"/>
        </w:rPr>
      </w:pPr>
      <w:r w:rsidRPr="003C154C">
        <w:rPr>
          <w:rFonts w:ascii="Arial" w:hAnsi="Arial" w:cs="Arial"/>
        </w:rPr>
        <w:t>The Biodiversity Strategy is a five year strategy that will be implemented between the 2017-18 and 2021-22 financial years. A detailed and costed action plan has been developed and is set out</w:t>
      </w:r>
      <w:r>
        <w:rPr>
          <w:rFonts w:ascii="Arial" w:hAnsi="Arial" w:cs="Arial"/>
        </w:rPr>
        <w:t xml:space="preserve"> in T</w:t>
      </w:r>
      <w:r w:rsidRPr="003C154C">
        <w:rPr>
          <w:rFonts w:ascii="Arial" w:hAnsi="Arial" w:cs="Arial"/>
        </w:rPr>
        <w:t xml:space="preserve">able </w:t>
      </w:r>
      <w:r>
        <w:rPr>
          <w:rFonts w:ascii="Arial" w:hAnsi="Arial" w:cs="Arial"/>
        </w:rPr>
        <w:t>5</w:t>
      </w:r>
      <w:r w:rsidRPr="003C154C">
        <w:rPr>
          <w:rFonts w:ascii="Arial" w:hAnsi="Arial" w:cs="Arial"/>
        </w:rPr>
        <w:t>. The action plan identifies how each of the six biodiversity goals will be achieved over the five year period.</w:t>
      </w:r>
    </w:p>
    <w:p w:rsidR="00C44B6C" w:rsidRPr="003C154C" w:rsidRDefault="00C44B6C" w:rsidP="00C44B6C">
      <w:pPr>
        <w:rPr>
          <w:rFonts w:ascii="Arial" w:hAnsi="Arial" w:cs="Arial"/>
        </w:rPr>
      </w:pPr>
      <w:r w:rsidRPr="003C154C">
        <w:rPr>
          <w:rFonts w:ascii="Arial" w:hAnsi="Arial" w:cs="Arial"/>
        </w:rPr>
        <w:t>The costing used in the action plan are:</w:t>
      </w:r>
    </w:p>
    <w:tbl>
      <w:tblPr>
        <w:tblW w:w="5377" w:type="dxa"/>
        <w:tblLook w:val="04A0" w:firstRow="1" w:lastRow="0" w:firstColumn="1" w:lastColumn="0" w:noHBand="0" w:noVBand="1"/>
      </w:tblPr>
      <w:tblGrid>
        <w:gridCol w:w="2967"/>
        <w:gridCol w:w="2410"/>
      </w:tblGrid>
      <w:tr w:rsidR="00C44B6C" w:rsidRPr="0060137A" w:rsidTr="00DD2096">
        <w:trPr>
          <w:trHeight w:val="402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4B6C" w:rsidRPr="00C973F8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lang w:val="en-AU" w:eastAsia="en-AU"/>
              </w:rPr>
              <w:t>Indicative cost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lang w:val="en-AU" w:eastAsia="en-AU"/>
              </w:rPr>
              <w:t>Classification</w:t>
            </w:r>
          </w:p>
        </w:tc>
      </w:tr>
      <w:tr w:rsidR="00C44B6C" w:rsidRPr="0060137A" w:rsidTr="00DD2096">
        <w:trPr>
          <w:trHeight w:val="40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C44B6C" w:rsidRPr="00C973F8" w:rsidRDefault="00D13034" w:rsidP="00DD2096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 xml:space="preserve">Staff or monetary </w:t>
            </w:r>
            <w:r w:rsidR="00C44B6C" w:rsidRPr="0060137A">
              <w:rPr>
                <w:rFonts w:ascii="Arial" w:eastAsia="Times New Roman" w:hAnsi="Arial" w:cs="Arial"/>
                <w:lang w:val="en-AU" w:eastAsia="en-AU"/>
              </w:rPr>
              <w:t>resources included in existing Council operations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C44B6C" w:rsidRPr="00651C9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lang w:val="en-AU" w:eastAsia="en-AU"/>
              </w:rPr>
              <w:t>Existing resources</w:t>
            </w:r>
          </w:p>
        </w:tc>
      </w:tr>
      <w:tr w:rsidR="00C44B6C" w:rsidRPr="0060137A" w:rsidTr="00DD2096">
        <w:trPr>
          <w:trHeight w:val="40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4B6C" w:rsidRPr="00C973F8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lang w:val="en-AU" w:eastAsia="en-AU"/>
              </w:rPr>
              <w:t>$0-$20,000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lang w:val="en-AU" w:eastAsia="en-AU"/>
              </w:rPr>
              <w:t>Low cost</w:t>
            </w:r>
          </w:p>
        </w:tc>
      </w:tr>
      <w:tr w:rsidR="00C44B6C" w:rsidRPr="0060137A" w:rsidTr="00DD2096">
        <w:trPr>
          <w:trHeight w:val="6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4B6C" w:rsidRPr="00C973F8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lang w:val="en-AU" w:eastAsia="en-AU"/>
              </w:rPr>
              <w:t>$20,001</w:t>
            </w:r>
            <w:r w:rsidRPr="00C973F8">
              <w:rPr>
                <w:rFonts w:ascii="Arial" w:eastAsia="Times New Roman" w:hAnsi="Arial" w:cs="Arial"/>
                <w:lang w:val="en-AU" w:eastAsia="en-AU"/>
              </w:rPr>
              <w:t xml:space="preserve"> – $100,000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lang w:val="en-AU" w:eastAsia="en-AU"/>
              </w:rPr>
              <w:t>Medium cost</w:t>
            </w:r>
          </w:p>
        </w:tc>
      </w:tr>
      <w:tr w:rsidR="00C44B6C" w:rsidRPr="0060137A" w:rsidTr="00DD2096">
        <w:trPr>
          <w:trHeight w:val="40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4B6C" w:rsidRPr="00C973F8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lang w:val="en-AU" w:eastAsia="en-AU"/>
              </w:rPr>
              <w:t>$100,001+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lang w:val="en-AU" w:eastAsia="en-AU"/>
              </w:rPr>
              <w:t>High cost</w:t>
            </w:r>
          </w:p>
        </w:tc>
      </w:tr>
    </w:tbl>
    <w:p w:rsidR="00C44B6C" w:rsidRPr="003C154C" w:rsidRDefault="00C44B6C" w:rsidP="00C44B6C">
      <w:pPr>
        <w:rPr>
          <w:rFonts w:ascii="Arial" w:hAnsi="Arial" w:cs="Arial"/>
        </w:rPr>
      </w:pPr>
      <w:r w:rsidRPr="003C154C">
        <w:rPr>
          <w:rFonts w:ascii="Arial" w:hAnsi="Arial" w:cs="Arial"/>
        </w:rPr>
        <w:t xml:space="preserve">  </w:t>
      </w:r>
    </w:p>
    <w:p w:rsidR="00C44B6C" w:rsidRPr="003C154C" w:rsidRDefault="00C44B6C" w:rsidP="00C44B6C">
      <w:pPr>
        <w:rPr>
          <w:rFonts w:ascii="Arial" w:hAnsi="Arial" w:cs="Arial"/>
        </w:rPr>
        <w:sectPr w:rsidR="00C44B6C" w:rsidRPr="003C154C" w:rsidSect="00C44B6C">
          <w:footerReference w:type="default" r:id="rId7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C44B6C" w:rsidRDefault="00C44B6C">
      <w:pPr>
        <w:rPr>
          <w:rFonts w:ascii="Arial" w:hAnsi="Arial" w:cs="Arial"/>
          <w:i/>
          <w:lang w:val="en-AU"/>
        </w:rPr>
      </w:pPr>
    </w:p>
    <w:p w:rsidR="00C44B6C" w:rsidRPr="00C44B6C" w:rsidRDefault="00C44B6C" w:rsidP="00C44B6C">
      <w:pPr>
        <w:rPr>
          <w:rFonts w:ascii="Arial" w:hAnsi="Arial" w:cs="Arial"/>
          <w:i/>
          <w:lang w:val="en-AU"/>
        </w:rPr>
      </w:pPr>
      <w:r w:rsidRPr="003C154C">
        <w:rPr>
          <w:rFonts w:ascii="Arial" w:hAnsi="Arial" w:cs="Arial"/>
          <w:i/>
          <w:lang w:val="en-AU"/>
        </w:rPr>
        <w:t>Table 5 Biodiversity Action Plan for 2017-18 to 2021-22</w:t>
      </w:r>
    </w:p>
    <w:tbl>
      <w:tblPr>
        <w:tblW w:w="15653" w:type="dxa"/>
        <w:tblLayout w:type="fixed"/>
        <w:tblLook w:val="04A0" w:firstRow="1" w:lastRow="0" w:firstColumn="1" w:lastColumn="0" w:noHBand="0" w:noVBand="1"/>
      </w:tblPr>
      <w:tblGrid>
        <w:gridCol w:w="4243"/>
        <w:gridCol w:w="1559"/>
        <w:gridCol w:w="1559"/>
        <w:gridCol w:w="1701"/>
        <w:gridCol w:w="1701"/>
        <w:gridCol w:w="1560"/>
        <w:gridCol w:w="1701"/>
        <w:gridCol w:w="1629"/>
      </w:tblGrid>
      <w:tr w:rsidR="00C44B6C" w:rsidRPr="0060137A" w:rsidTr="00DD2096">
        <w:trPr>
          <w:trHeight w:val="300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B6C" w:rsidRPr="00C973F8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val="en-AU" w:eastAsia="en-AU"/>
              </w:rPr>
              <w:t>Action</w:t>
            </w:r>
          </w:p>
        </w:tc>
        <w:tc>
          <w:tcPr>
            <w:tcW w:w="97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B6C" w:rsidRPr="00651C9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val="en-AU" w:eastAsia="en-AU"/>
              </w:rPr>
              <w:t>Goal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AU" w:eastAsia="en-AU"/>
              </w:rPr>
              <w:t>Indicative cost</w:t>
            </w:r>
          </w:p>
        </w:tc>
      </w:tr>
      <w:tr w:rsidR="00C44B6C" w:rsidRPr="0060137A" w:rsidTr="00DD2096">
        <w:trPr>
          <w:trHeight w:val="2325"/>
        </w:trPr>
        <w:tc>
          <w:tcPr>
            <w:tcW w:w="42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6C" w:rsidRPr="0060137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AU" w:eastAsia="en-AU"/>
              </w:rPr>
              <w:t>Building ecosystem resilience through long term, adaptive planning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6C" w:rsidRPr="0060137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AU" w:eastAsia="en-AU"/>
              </w:rPr>
              <w:t>Utilising best practice pest management to reduce threats to our unique biodiversity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6C" w:rsidRPr="0060137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AU" w:eastAsia="en-AU"/>
              </w:rPr>
              <w:t>Utilising urban ecology and natural area management to prevent the loss of species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6C" w:rsidRPr="0060137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AU" w:eastAsia="en-AU"/>
              </w:rPr>
              <w:t xml:space="preserve">Optimise the biodiversity protection opportunities that can be achieved through excellence in land use management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6C" w:rsidRPr="0060137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AU" w:eastAsia="en-AU"/>
              </w:rPr>
              <w:t>Assisting our community to value our unique biodiversity through education and engagement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4B6C" w:rsidRPr="0060137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AU" w:eastAsia="en-AU"/>
              </w:rPr>
              <w:t>Incorporating community recreational benefits without compromising our unique biodiversity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</w:p>
        </w:tc>
      </w:tr>
      <w:tr w:rsidR="00C44B6C" w:rsidRPr="0060137A" w:rsidTr="00DD2096">
        <w:trPr>
          <w:trHeight w:val="300"/>
        </w:trPr>
        <w:tc>
          <w:tcPr>
            <w:tcW w:w="156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B6C" w:rsidRPr="00C973F8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val="en-AU" w:eastAsia="en-AU"/>
              </w:rPr>
              <w:t>Objective 1 - Build Council’s capacity to deliver effective biodiversity management</w:t>
            </w:r>
          </w:p>
        </w:tc>
      </w:tr>
      <w:tr w:rsidR="00C44B6C" w:rsidRPr="0060137A" w:rsidTr="00DD2096">
        <w:trPr>
          <w:trHeight w:val="2268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1.1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As part of an organisation wide review into Council GIS service needs, review biodiversity data mapping and mo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nitoring needs including: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type of data needed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frequency of data collection needed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time and resources needed to collect data both initially and on an ongoing basis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D278D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D278D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AU" w:eastAsia="en-AU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70981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B6C" w:rsidRPr="00924468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n-AU" w:eastAsia="en-AU"/>
              </w:rPr>
              <w:t>*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Internal resources</w:t>
            </w:r>
          </w:p>
        </w:tc>
      </w:tr>
      <w:tr w:rsidR="00C44B6C" w:rsidRPr="0060137A" w:rsidTr="00DD2096">
        <w:trPr>
          <w:trHeight w:val="3799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lastRenderedPageBreak/>
              <w:t xml:space="preserve">1.2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Undertake a review of the resources required to imp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lement the Biodiversity strategy, including: 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time and capacity to liaise with government agencies and industry to effectively collaborate on regional  biodiversity management (with a particular focus on pest plant and animal management)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 xml:space="preserve">- management and analysis of biodiversity data, monitoring control efforts and reporting 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capacity to advise Council on biodiversity related land management issues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D278D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D278D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70981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924468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lang w:val="en-AU" w:eastAsia="en-AU"/>
              </w:rPr>
              <w:t>Internal resources</w:t>
            </w:r>
          </w:p>
        </w:tc>
      </w:tr>
      <w:tr w:rsidR="00C44B6C" w:rsidRPr="0060137A" w:rsidTr="00DD2096">
        <w:trPr>
          <w:trHeight w:val="300"/>
        </w:trPr>
        <w:tc>
          <w:tcPr>
            <w:tcW w:w="156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4B6C" w:rsidRPr="00C973F8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b/>
                <w:i/>
                <w:color w:val="000000"/>
                <w:lang w:val="en-AU" w:eastAsia="en-AU"/>
              </w:rPr>
              <w:t xml:space="preserve">Objective 2 - Actively reduce the threat posed by pest plant and animals on biodiversity within Hobsons Bay </w:t>
            </w:r>
          </w:p>
        </w:tc>
      </w:tr>
      <w:tr w:rsidR="00C44B6C" w:rsidRPr="0060137A" w:rsidTr="00DD2096">
        <w:trPr>
          <w:trHeight w:val="94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B6C" w:rsidRPr="00C973F8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2.1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 Continue core pest plant control at Council managed conservation reserves as per site management plans.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D278D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D278D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B6C" w:rsidRPr="00570981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B6C" w:rsidRPr="00924468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lang w:val="en-AU" w:eastAsia="en-AU"/>
              </w:rPr>
              <w:t>High cost</w:t>
            </w:r>
          </w:p>
        </w:tc>
      </w:tr>
      <w:tr w:rsidR="00C44B6C" w:rsidRPr="0060137A" w:rsidTr="00DD2096">
        <w:trPr>
          <w:trHeight w:val="198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2.2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Undertake a pest plant control review in collaboration with neighbouring land manager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s to effectively manage 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key conservation areas to be protected and the top weed threats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broader pest plant management needs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 xml:space="preserve">- options for reducing weed threats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D278D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D278D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70981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B6C" w:rsidRPr="00924468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6C" w:rsidRPr="0060137A" w:rsidRDefault="00C44B6C" w:rsidP="00DD209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lang w:val="en-AU" w:eastAsia="en-AU"/>
              </w:rPr>
              <w:t>Medium cost</w:t>
            </w:r>
          </w:p>
        </w:tc>
      </w:tr>
      <w:tr w:rsidR="00C44B6C" w:rsidRPr="0060137A" w:rsidTr="00DD2096">
        <w:trPr>
          <w:trHeight w:val="8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2.3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Review and update Council practices for machine hygiene to en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sure that weed seeds are not spread by machinery.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D278D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D278D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70981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B6C" w:rsidRPr="00924468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lang w:val="en-AU" w:eastAsia="en-AU"/>
              </w:rPr>
              <w:t>Internal resources</w:t>
            </w:r>
          </w:p>
        </w:tc>
      </w:tr>
      <w:tr w:rsidR="00C44B6C" w:rsidRPr="0060137A" w:rsidTr="00DD2096">
        <w:trPr>
          <w:trHeight w:val="3003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B6C" w:rsidRPr="00651C9A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lastRenderedPageBreak/>
              <w:t xml:space="preserve">2.4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Identify: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Council-wide pest animal control needs for rabbits, foxe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s, cats, Indian mynas and other relevant species</w:t>
            </w:r>
          </w:p>
          <w:p w:rsidR="00C44B6C" w:rsidRPr="005D278D" w:rsidRDefault="00C44B6C" w:rsidP="00DD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- u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ndertake a rabbit control review at priority conservation reserves</w:t>
            </w:r>
            <w:r w:rsidRPr="005D278D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options for improving collaboration with neighbouring land managers to effectively manage pest animals including rabbits</w:t>
            </w:r>
            <w:r w:rsidRPr="005D278D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the suitability of pest animal control options for the urban context</w:t>
            </w:r>
            <w:r w:rsidRPr="005D278D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advocacy needs to manage key species such as Indian mynas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570981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924468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lang w:val="en-AU" w:eastAsia="en-AU"/>
              </w:rPr>
              <w:t>Medium cost</w:t>
            </w:r>
          </w:p>
        </w:tc>
      </w:tr>
      <w:tr w:rsidR="00C44B6C" w:rsidRPr="0060137A" w:rsidTr="004B2560">
        <w:trPr>
          <w:trHeight w:val="300"/>
        </w:trPr>
        <w:tc>
          <w:tcPr>
            <w:tcW w:w="1565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4B6C" w:rsidRPr="00C973F8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b/>
                <w:i/>
                <w:color w:val="000000"/>
                <w:lang w:val="en-AU" w:eastAsia="en-AU"/>
              </w:rPr>
              <w:t>Objective 3 - Actively enhance the connectivity of conservation areas</w:t>
            </w:r>
          </w:p>
        </w:tc>
      </w:tr>
      <w:tr w:rsidR="00C44B6C" w:rsidRPr="0060137A" w:rsidTr="004B2560">
        <w:trPr>
          <w:trHeight w:val="8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60" w:rsidRPr="004B2560" w:rsidRDefault="004B2560" w:rsidP="004B2560">
            <w:pP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4B2560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 xml:space="preserve">3.1 Identify areas of priority for increasing connectivity and biolinks both within the municipality and across the region. </w:t>
            </w:r>
          </w:p>
          <w:p w:rsidR="004B2560" w:rsidRPr="004B2560" w:rsidRDefault="004B2560" w:rsidP="004B2560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4B2560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This may include:</w:t>
            </w:r>
          </w:p>
          <w:p w:rsidR="004B2560" w:rsidRPr="004B2560" w:rsidRDefault="004B2560" w:rsidP="004B2560">
            <w:pP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4B2560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 xml:space="preserve">- keeping offsets within the municipality where they would contribute to biodiversity (to be guided by the outcome of action 5.1) </w:t>
            </w:r>
          </w:p>
          <w:p w:rsidR="004B2560" w:rsidRPr="004B2560" w:rsidRDefault="004B2560" w:rsidP="004B2560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4B2560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This will include:</w:t>
            </w:r>
          </w:p>
          <w:p w:rsidR="00C44B6C" w:rsidRPr="004B2560" w:rsidRDefault="004B2560" w:rsidP="004B2560">
            <w:pP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4B2560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- identify where restoration works should be prioritised to increase connectivity</w:t>
            </w:r>
            <w:r w:rsidRPr="004B2560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br/>
              <w:t>- identify where connectivity is important to allow for the upstream migration of species retreating from sea level rise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6C" w:rsidRPr="0060137A" w:rsidRDefault="00C44B6C" w:rsidP="00DD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lang w:val="en-AU" w:eastAsia="en-AU"/>
              </w:rPr>
              <w:t>Medium cost</w:t>
            </w:r>
          </w:p>
        </w:tc>
      </w:tr>
      <w:tr w:rsidR="004B2560" w:rsidRPr="0060137A" w:rsidTr="004B2560">
        <w:trPr>
          <w:trHeight w:val="8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60" w:rsidRPr="004B2560" w:rsidRDefault="004B2560" w:rsidP="004B2560">
            <w:pP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3.2 Link biodiversity corridors with conservation reserves, creeks and open spaces across the municipality through revegetation and landscaping techniques.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lang w:val="en-AU" w:eastAsia="en-AU"/>
              </w:rPr>
              <w:t>Medium cost</w:t>
            </w:r>
          </w:p>
        </w:tc>
      </w:tr>
      <w:tr w:rsidR="004B2560" w:rsidRPr="0060137A" w:rsidTr="004B2560">
        <w:trPr>
          <w:trHeight w:val="8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60" w:rsidRPr="004B2560" w:rsidRDefault="004B2560" w:rsidP="004B2560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 xml:space="preserve">3.3 As part of a broader project to identify and protect significant trees - map trees with significant conservation values such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lastRenderedPageBreak/>
              <w:t>as those containing hollows for fauna habitat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lastRenderedPageBreak/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lang w:val="en-AU" w:eastAsia="en-AU"/>
              </w:rPr>
              <w:t>Medium cost</w:t>
            </w:r>
          </w:p>
        </w:tc>
      </w:tr>
      <w:tr w:rsidR="004B2560" w:rsidRPr="0060137A" w:rsidTr="004B2560">
        <w:trPr>
          <w:trHeight w:val="300"/>
        </w:trPr>
        <w:tc>
          <w:tcPr>
            <w:tcW w:w="1565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560" w:rsidRPr="00C973F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AU" w:eastAsia="en-AU"/>
              </w:rPr>
              <w:t>Objective 4 - Enhance land management practices for biodiversity protection</w:t>
            </w:r>
          </w:p>
        </w:tc>
      </w:tr>
      <w:tr w:rsidR="004B2560" w:rsidRPr="0060137A" w:rsidTr="00DD2096">
        <w:trPr>
          <w:trHeight w:val="8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560" w:rsidRPr="00570981" w:rsidRDefault="004B2560" w:rsidP="004B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4.1 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Where gaps exist in current mapping and modelling of vegetation, undertake further mapping to support decision making and potential planning </w:t>
            </w:r>
            <w:r w:rsidRPr="005D278D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controls such as Environmental Significance Overlays.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92446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lang w:val="en-AU" w:eastAsia="en-AU"/>
              </w:rPr>
              <w:t>Medium cost</w:t>
            </w:r>
          </w:p>
        </w:tc>
      </w:tr>
      <w:tr w:rsidR="004B2560" w:rsidRPr="0060137A" w:rsidTr="00DD2096">
        <w:trPr>
          <w:trHeight w:val="8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560" w:rsidRPr="00C973F8" w:rsidRDefault="004B2560" w:rsidP="004B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4.2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Review of ecological burn practices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70981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560" w:rsidRPr="0092446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lang w:val="en-AU" w:eastAsia="en-AU"/>
              </w:rPr>
              <w:t>Internal resources</w:t>
            </w:r>
          </w:p>
        </w:tc>
      </w:tr>
      <w:tr w:rsidR="004B2560" w:rsidRPr="0060137A" w:rsidTr="00DD2096">
        <w:trPr>
          <w:trHeight w:val="8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4.3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Review fire notices. This will include a review 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of mapping and identification of areas subject to fire notice that have significant habitat.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70981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92446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lang w:val="en-AU" w:eastAsia="en-AU"/>
              </w:rPr>
              <w:t>Internal resources</w:t>
            </w:r>
          </w:p>
        </w:tc>
      </w:tr>
      <w:tr w:rsidR="004B2560" w:rsidRPr="0060137A" w:rsidTr="00DD2096">
        <w:trPr>
          <w:trHeight w:val="1290"/>
        </w:trPr>
        <w:tc>
          <w:tcPr>
            <w:tcW w:w="4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4.4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Discuss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 in collaboration with 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key stakeholders including Birdlife Australia, Parks Victoria, Melbourne Water and citizen science groups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,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 how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to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 monitor ground nesting birds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for improved management and protection from domestic animals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70981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92446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lang w:val="en-AU" w:eastAsia="en-AU"/>
              </w:rPr>
              <w:t>Internal resources</w:t>
            </w:r>
          </w:p>
        </w:tc>
      </w:tr>
      <w:tr w:rsidR="004B2560" w:rsidRPr="0060137A" w:rsidTr="00DD2096">
        <w:trPr>
          <w:trHeight w:val="300"/>
        </w:trPr>
        <w:tc>
          <w:tcPr>
            <w:tcW w:w="156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560" w:rsidRPr="00C973F8" w:rsidRDefault="004B2560" w:rsidP="00093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b/>
                <w:i/>
                <w:color w:val="000000"/>
                <w:lang w:val="en-AU" w:eastAsia="en-AU"/>
              </w:rPr>
              <w:t xml:space="preserve">Objective 5 - </w:t>
            </w:r>
            <w:r w:rsidRPr="00C973F8">
              <w:rPr>
                <w:rFonts w:ascii="Arial" w:eastAsia="Times New Roman" w:hAnsi="Arial" w:cs="Arial"/>
                <w:b/>
                <w:i/>
                <w:color w:val="000000"/>
                <w:lang w:val="en-AU" w:eastAsia="en-AU"/>
              </w:rPr>
              <w:t xml:space="preserve">Enhance land use </w:t>
            </w:r>
            <w:r w:rsidR="00093F15">
              <w:rPr>
                <w:rFonts w:ascii="Arial" w:eastAsia="Times New Roman" w:hAnsi="Arial" w:cs="Arial"/>
                <w:b/>
                <w:i/>
                <w:color w:val="000000"/>
                <w:lang w:val="en-AU" w:eastAsia="en-AU"/>
              </w:rPr>
              <w:t>planning</w:t>
            </w:r>
            <w:r w:rsidRPr="00C973F8">
              <w:rPr>
                <w:rFonts w:ascii="Arial" w:eastAsia="Times New Roman" w:hAnsi="Arial" w:cs="Arial"/>
                <w:b/>
                <w:i/>
                <w:color w:val="000000"/>
                <w:lang w:val="en-AU" w:eastAsia="en-AU"/>
              </w:rPr>
              <w:t xml:space="preserve"> for biodiversity protection</w:t>
            </w:r>
          </w:p>
        </w:tc>
      </w:tr>
      <w:tr w:rsidR="004B2560" w:rsidRPr="0060137A" w:rsidTr="00DD2096">
        <w:trPr>
          <w:trHeight w:val="10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560" w:rsidRPr="00C973F8" w:rsidRDefault="004B2560" w:rsidP="004B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5,1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Develop a procedure to guide when and under what condition Council: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will accept and manage offsets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determines if offsets are to be retained within the municipality or sought elsewhere.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70981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560" w:rsidRPr="0092446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lang w:val="en-AU" w:eastAsia="en-AU"/>
              </w:rPr>
              <w:t>Internal resources</w:t>
            </w:r>
          </w:p>
        </w:tc>
      </w:tr>
      <w:tr w:rsidR="004B2560" w:rsidRPr="0060137A" w:rsidTr="00DD2096">
        <w:trPr>
          <w:trHeight w:val="8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5.2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Investigate Environmental 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Significance Overlays for the increased protection of sites with high value vegetation.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70981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92446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lang w:val="en-AU" w:eastAsia="en-AU"/>
              </w:rPr>
              <w:t>High cost</w:t>
            </w:r>
          </w:p>
        </w:tc>
      </w:tr>
      <w:tr w:rsidR="004B2560" w:rsidRPr="0060137A" w:rsidTr="00DD2096">
        <w:trPr>
          <w:trHeight w:val="300"/>
        </w:trPr>
        <w:tc>
          <w:tcPr>
            <w:tcW w:w="156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560" w:rsidRPr="00C973F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b/>
                <w:i/>
                <w:color w:val="000000"/>
                <w:lang w:val="en-AU" w:eastAsia="en-AU"/>
              </w:rPr>
              <w:t>Objective 6 - Education and engagement</w:t>
            </w:r>
          </w:p>
        </w:tc>
      </w:tr>
      <w:tr w:rsidR="004B2560" w:rsidRPr="0060137A" w:rsidTr="00DD2096">
        <w:trPr>
          <w:trHeight w:val="12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lastRenderedPageBreak/>
              <w:t xml:space="preserve">6.1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Review the balance of using existing resources for community engagement activities and core conservation actions, including: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how events are pr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omoted and communicated to the community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the demand for events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br/>
              <w:t>- resources necessary to deliver these activities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70981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92446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054312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054312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lang w:val="en-AU" w:eastAsia="en-AU"/>
              </w:rPr>
              <w:t>Internal resources</w:t>
            </w:r>
          </w:p>
        </w:tc>
      </w:tr>
      <w:tr w:rsidR="004B2560" w:rsidRPr="0060137A" w:rsidTr="00DD2096">
        <w:trPr>
          <w:trHeight w:val="8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6.2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Review how the Enviro Centre and Council's biodiversity resources can be utilised to more effectively sup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port volunteers and community members who are interested in biodiversity.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70981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560" w:rsidRPr="0092446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560" w:rsidRPr="00054312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054312">
              <w:rPr>
                <w:rFonts w:ascii="Arial" w:eastAsia="Times New Roman" w:hAnsi="Arial" w:cs="Arial"/>
                <w:color w:val="000000"/>
                <w:lang w:val="en-AU" w:eastAsia="en-AU"/>
              </w:rPr>
              <w:t>Internal resources</w:t>
            </w:r>
          </w:p>
        </w:tc>
      </w:tr>
      <w:tr w:rsidR="004B2560" w:rsidRPr="0060137A" w:rsidTr="00DD2096">
        <w:trPr>
          <w:trHeight w:val="900"/>
        </w:trPr>
        <w:tc>
          <w:tcPr>
            <w:tcW w:w="4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560" w:rsidRPr="00C973F8" w:rsidRDefault="004B2560" w:rsidP="004B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6.3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Embed in Council's signage and way finding strategy an interpretive signage suite for conservation areas.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60" w:rsidRPr="00570981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560" w:rsidRPr="0092446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lang w:val="en-AU" w:eastAsia="en-AU"/>
              </w:rPr>
              <w:t>Internal resources</w:t>
            </w:r>
          </w:p>
        </w:tc>
      </w:tr>
      <w:tr w:rsidR="004B2560" w:rsidRPr="0060137A" w:rsidTr="00DD2096">
        <w:trPr>
          <w:trHeight w:val="300"/>
        </w:trPr>
        <w:tc>
          <w:tcPr>
            <w:tcW w:w="156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560" w:rsidRPr="00C973F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b/>
                <w:i/>
                <w:color w:val="000000"/>
                <w:lang w:val="en-AU" w:eastAsia="en-AU"/>
              </w:rPr>
              <w:t>Objective 7 - People and biodiversity management</w:t>
            </w:r>
          </w:p>
        </w:tc>
      </w:tr>
      <w:tr w:rsidR="004B2560" w:rsidRPr="0060137A" w:rsidTr="00DD2096">
        <w:trPr>
          <w:trHeight w:val="8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560" w:rsidRPr="00651C9A" w:rsidRDefault="004B2560" w:rsidP="004B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7.1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In line with Council’s draft Reconciliation Action Plan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, Counc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il will commence the process of 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increasing community recognition of reconciliation and Aboriginal culture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by engaging with the Aboriginal community.</w:t>
            </w:r>
          </w:p>
          <w:p w:rsidR="004B2560" w:rsidRPr="003C154C" w:rsidRDefault="004B2560" w:rsidP="004B2560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C973F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</w:p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</w:p>
          <w:p w:rsidR="004B2560" w:rsidRPr="00570981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560" w:rsidRPr="0092446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560" w:rsidRPr="00054312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  <w:p w:rsidR="004B2560" w:rsidRPr="0060137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lang w:val="en-AU" w:eastAsia="en-AU"/>
              </w:rPr>
              <w:t>Medium</w:t>
            </w:r>
            <w:r w:rsidRPr="0060137A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cost</w:t>
            </w:r>
          </w:p>
        </w:tc>
      </w:tr>
      <w:tr w:rsidR="004B2560" w:rsidRPr="0060137A" w:rsidTr="00DD2096">
        <w:trPr>
          <w:trHeight w:val="14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560" w:rsidRPr="00C973F8" w:rsidRDefault="004B2560" w:rsidP="004B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7.2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Identify key conservation sites at risk of dumping. Develop a plan to manage the risk to these sites. This should consider site profile raising, signage and awareness raining activities.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560" w:rsidRPr="00570981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560" w:rsidRPr="0092446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lang w:val="en-AU" w:eastAsia="en-AU"/>
              </w:rPr>
              <w:t>Internal resources</w:t>
            </w:r>
          </w:p>
        </w:tc>
      </w:tr>
      <w:tr w:rsidR="004B2560" w:rsidRPr="0060137A" w:rsidTr="00DD2096">
        <w:trPr>
          <w:trHeight w:val="10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7.3 </w:t>
            </w: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Identify and map conservation sites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for high biodiversity protection and significant sites for medium biodiversity protection. Develop a plan to manage the impacts of dogs and other recreational uses in these areas. This may include cle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arer signs, buffers and boundaries between adjoining land uses.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70981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560" w:rsidRPr="0092446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560" w:rsidRPr="00054312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054312">
              <w:rPr>
                <w:rFonts w:ascii="Arial" w:eastAsia="Times New Roman" w:hAnsi="Arial" w:cs="Arial"/>
                <w:color w:val="000000"/>
                <w:lang w:val="en-AU" w:eastAsia="en-AU"/>
              </w:rPr>
              <w:t>Internal resources</w:t>
            </w:r>
          </w:p>
        </w:tc>
      </w:tr>
      <w:tr w:rsidR="004B2560" w:rsidRPr="0060137A" w:rsidTr="00DD2096">
        <w:trPr>
          <w:trHeight w:val="8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lastRenderedPageBreak/>
              <w:t>7.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4</w:t>
            </w: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Work collaboratively with other agencies to clarify biodiversity values and responsibilities. Incorporate the protection of conservation areas into all comm</w:t>
            </w:r>
            <w:r w:rsidRPr="00651C9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ercial agreements such as kite surfing agreements.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70981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560" w:rsidRPr="0092446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560" w:rsidRPr="00054312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054312">
              <w:rPr>
                <w:rFonts w:ascii="Arial" w:eastAsia="Times New Roman" w:hAnsi="Arial" w:cs="Arial"/>
                <w:color w:val="000000"/>
                <w:lang w:val="en-AU" w:eastAsia="en-AU"/>
              </w:rPr>
              <w:t>Internal resources</w:t>
            </w:r>
          </w:p>
        </w:tc>
      </w:tr>
      <w:tr w:rsidR="004B2560" w:rsidRPr="0060137A" w:rsidTr="00DD2096">
        <w:trPr>
          <w:trHeight w:val="8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560" w:rsidRPr="00C973F8" w:rsidRDefault="004B2560" w:rsidP="004B2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</w:pP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5</w:t>
            </w:r>
            <w:r w:rsidRPr="0060137A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 </w:t>
            </w:r>
            <w:r w:rsidRPr="00C973F8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 xml:space="preserve">Following the mapping and identification of significant trees, review approval and enforcement processes for the removal of trees and strengthen as appropriate.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651C9A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651C9A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D278D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D278D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60" w:rsidRPr="00570981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570981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560" w:rsidRPr="00924468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</w:pPr>
            <w:r w:rsidRPr="00924468">
              <w:rPr>
                <w:rFonts w:ascii="Arial" w:eastAsia="Times New Roman" w:hAnsi="Arial" w:cs="Arial"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560" w:rsidRPr="00054312" w:rsidRDefault="004B2560" w:rsidP="004B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054312">
              <w:rPr>
                <w:rFonts w:ascii="Arial" w:eastAsia="Times New Roman" w:hAnsi="Arial" w:cs="Arial"/>
                <w:color w:val="000000"/>
                <w:lang w:val="en-AU" w:eastAsia="en-AU"/>
              </w:rPr>
              <w:t>Internal resources</w:t>
            </w:r>
          </w:p>
        </w:tc>
      </w:tr>
    </w:tbl>
    <w:p w:rsidR="00C44B6C" w:rsidRPr="003C154C" w:rsidRDefault="00C44B6C" w:rsidP="00C44B6C">
      <w:pPr>
        <w:rPr>
          <w:rFonts w:ascii="Arial" w:hAnsi="Arial" w:cs="Arial"/>
          <w:lang w:val="en-AU"/>
        </w:rPr>
      </w:pPr>
    </w:p>
    <w:p w:rsidR="004B0CCD" w:rsidRPr="0060137A" w:rsidRDefault="004B0CCD" w:rsidP="004B0CCD">
      <w:pPr>
        <w:pStyle w:val="Pa0"/>
        <w:rPr>
          <w:rStyle w:val="A2"/>
          <w:rFonts w:ascii="Calibri" w:hAnsi="Calibri" w:cs="Calibri"/>
          <w:bCs/>
        </w:rPr>
      </w:pPr>
    </w:p>
    <w:p w:rsidR="004B0CCD" w:rsidRPr="0060137A" w:rsidRDefault="004B0CCD" w:rsidP="004B0CCD">
      <w:pPr>
        <w:pStyle w:val="Pa0"/>
        <w:rPr>
          <w:rStyle w:val="A2"/>
          <w:rFonts w:ascii="Calibri" w:hAnsi="Calibri" w:cs="Calibri"/>
          <w:bCs/>
        </w:rPr>
      </w:pPr>
    </w:p>
    <w:p w:rsidR="004B0CCD" w:rsidRPr="0060137A" w:rsidRDefault="004B0CCD" w:rsidP="004B0CCD">
      <w:pPr>
        <w:pStyle w:val="Pa0"/>
        <w:rPr>
          <w:rStyle w:val="A2"/>
          <w:rFonts w:ascii="Calibri" w:hAnsi="Calibri" w:cs="Calibri"/>
          <w:bCs/>
        </w:rPr>
      </w:pPr>
    </w:p>
    <w:p w:rsidR="005C0536" w:rsidRDefault="005C0536">
      <w:pPr>
        <w:rPr>
          <w:rFonts w:ascii="Arial" w:hAnsi="Arial" w:cs="Arial"/>
        </w:rPr>
      </w:pPr>
    </w:p>
    <w:sectPr w:rsidR="005C0536" w:rsidSect="00C44B6C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4E" w:rsidRDefault="00846B4E">
      <w:pPr>
        <w:spacing w:after="0" w:line="240" w:lineRule="auto"/>
      </w:pPr>
      <w:r>
        <w:separator/>
      </w:r>
    </w:p>
  </w:endnote>
  <w:endnote w:type="continuationSeparator" w:id="0">
    <w:p w:rsidR="00846B4E" w:rsidRDefault="0084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472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914" w:rsidRDefault="00A607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3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914" w:rsidRDefault="00846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4E" w:rsidRDefault="00846B4E">
      <w:pPr>
        <w:spacing w:after="0" w:line="240" w:lineRule="auto"/>
      </w:pPr>
      <w:r>
        <w:separator/>
      </w:r>
    </w:p>
  </w:footnote>
  <w:footnote w:type="continuationSeparator" w:id="0">
    <w:p w:rsidR="00846B4E" w:rsidRDefault="0084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E50"/>
    <w:multiLevelType w:val="hybridMultilevel"/>
    <w:tmpl w:val="44B07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2DE2"/>
    <w:multiLevelType w:val="hybridMultilevel"/>
    <w:tmpl w:val="F5E4D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6B14"/>
    <w:multiLevelType w:val="hybridMultilevel"/>
    <w:tmpl w:val="38DE0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3F4B"/>
    <w:multiLevelType w:val="hybridMultilevel"/>
    <w:tmpl w:val="A4D279F4"/>
    <w:lvl w:ilvl="0" w:tplc="ED7EB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A1500">
      <w:start w:val="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84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C1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63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22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05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07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6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AC5DD6"/>
    <w:multiLevelType w:val="hybridMultilevel"/>
    <w:tmpl w:val="5E94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21F3D"/>
    <w:multiLevelType w:val="hybridMultilevel"/>
    <w:tmpl w:val="2BD01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D3"/>
    <w:rsid w:val="000078E6"/>
    <w:rsid w:val="000254DB"/>
    <w:rsid w:val="00027499"/>
    <w:rsid w:val="0003693C"/>
    <w:rsid w:val="0007169C"/>
    <w:rsid w:val="000730D3"/>
    <w:rsid w:val="00093F15"/>
    <w:rsid w:val="001A2114"/>
    <w:rsid w:val="001D6622"/>
    <w:rsid w:val="0020420B"/>
    <w:rsid w:val="0022076E"/>
    <w:rsid w:val="00255F8D"/>
    <w:rsid w:val="00336881"/>
    <w:rsid w:val="00364080"/>
    <w:rsid w:val="003C15EF"/>
    <w:rsid w:val="003C6B8B"/>
    <w:rsid w:val="00404B65"/>
    <w:rsid w:val="00412A97"/>
    <w:rsid w:val="00434DEE"/>
    <w:rsid w:val="004B0CCD"/>
    <w:rsid w:val="004B2560"/>
    <w:rsid w:val="005C0536"/>
    <w:rsid w:val="005C4471"/>
    <w:rsid w:val="005D1901"/>
    <w:rsid w:val="005D5883"/>
    <w:rsid w:val="0060192B"/>
    <w:rsid w:val="00650739"/>
    <w:rsid w:val="00664266"/>
    <w:rsid w:val="00695E2E"/>
    <w:rsid w:val="006D33C9"/>
    <w:rsid w:val="00712C3C"/>
    <w:rsid w:val="00716676"/>
    <w:rsid w:val="00747486"/>
    <w:rsid w:val="007B3D5B"/>
    <w:rsid w:val="007C1C6E"/>
    <w:rsid w:val="00846B4E"/>
    <w:rsid w:val="00860283"/>
    <w:rsid w:val="008831C9"/>
    <w:rsid w:val="00900506"/>
    <w:rsid w:val="00950765"/>
    <w:rsid w:val="009A6C96"/>
    <w:rsid w:val="009B0CF8"/>
    <w:rsid w:val="009F3A3B"/>
    <w:rsid w:val="00A16D61"/>
    <w:rsid w:val="00A6074B"/>
    <w:rsid w:val="00A67772"/>
    <w:rsid w:val="00A902EE"/>
    <w:rsid w:val="00AA7A7D"/>
    <w:rsid w:val="00AE0F60"/>
    <w:rsid w:val="00AE3C7E"/>
    <w:rsid w:val="00C44B6C"/>
    <w:rsid w:val="00C77653"/>
    <w:rsid w:val="00CA1F6A"/>
    <w:rsid w:val="00CE202F"/>
    <w:rsid w:val="00D06C4A"/>
    <w:rsid w:val="00D13034"/>
    <w:rsid w:val="00D25FA6"/>
    <w:rsid w:val="00DA75A5"/>
    <w:rsid w:val="00DC613F"/>
    <w:rsid w:val="00DD32FC"/>
    <w:rsid w:val="00DD6F45"/>
    <w:rsid w:val="00E10C31"/>
    <w:rsid w:val="00E63F97"/>
    <w:rsid w:val="00E706FB"/>
    <w:rsid w:val="00EC2D9F"/>
    <w:rsid w:val="00F21BC2"/>
    <w:rsid w:val="00F60FF4"/>
    <w:rsid w:val="00FB3704"/>
    <w:rsid w:val="00FD0ADC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16A5A-3C8F-4171-9A22-3C2C0342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</w:style>
  <w:style w:type="paragraph" w:styleId="Heading1">
    <w:name w:val="heading 1"/>
    <w:basedOn w:val="Normal"/>
    <w:next w:val="Normal"/>
    <w:link w:val="Heading1Char"/>
    <w:uiPriority w:val="9"/>
    <w:qFormat/>
    <w:rsid w:val="004B0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9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">
    <w:name w:val="Cover Heading"/>
    <w:basedOn w:val="Normal"/>
    <w:uiPriority w:val="99"/>
    <w:rsid w:val="000730D3"/>
    <w:pPr>
      <w:autoSpaceDE w:val="0"/>
      <w:autoSpaceDN w:val="0"/>
      <w:adjustRightInd w:val="0"/>
      <w:spacing w:after="0" w:line="940" w:lineRule="atLeast"/>
      <w:textAlignment w:val="center"/>
    </w:pPr>
    <w:rPr>
      <w:rFonts w:ascii="Helvetica Neue Bold" w:eastAsia="Helvetica Neue Bold" w:cs="Helvetica Neue Bold"/>
      <w:b/>
      <w:bCs/>
      <w:color w:val="FFFFFF"/>
      <w:sz w:val="94"/>
      <w:szCs w:val="94"/>
      <w:lang w:val="en-GB"/>
    </w:rPr>
  </w:style>
  <w:style w:type="character" w:styleId="Hyperlink">
    <w:name w:val="Hyperlink"/>
    <w:uiPriority w:val="99"/>
    <w:unhideWhenUsed/>
    <w:rsid w:val="004B0CCD"/>
    <w:rPr>
      <w:rFonts w:ascii="Verdana" w:hAnsi="Verdana" w:hint="default"/>
      <w:color w:val="0000FF"/>
      <w:u w:val="words"/>
      <w:vertAlign w:val="baseline"/>
    </w:rPr>
  </w:style>
  <w:style w:type="paragraph" w:customStyle="1" w:styleId="Pa0">
    <w:name w:val="Pa0"/>
    <w:basedOn w:val="Normal"/>
    <w:uiPriority w:val="99"/>
    <w:rsid w:val="004B0CCD"/>
    <w:pPr>
      <w:autoSpaceDE w:val="0"/>
      <w:autoSpaceDN w:val="0"/>
      <w:spacing w:after="0" w:line="241" w:lineRule="atLeast"/>
    </w:pPr>
    <w:rPr>
      <w:rFonts w:ascii="HelveticaNeueLT Std" w:eastAsia="Calibri" w:hAnsi="HelveticaNeueLT Std" w:cs="Times New Roman"/>
      <w:sz w:val="24"/>
      <w:szCs w:val="24"/>
      <w:lang w:val="en-AU" w:eastAsia="en-AU"/>
    </w:rPr>
  </w:style>
  <w:style w:type="character" w:customStyle="1" w:styleId="A2">
    <w:name w:val="A2"/>
    <w:uiPriority w:val="99"/>
    <w:rsid w:val="004B0CCD"/>
    <w:rPr>
      <w:rFonts w:ascii="HelveticaNeueLT Std" w:hAnsi="HelveticaNeueLT Std" w:hint="defaul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B0C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B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2207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69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Txt">
    <w:name w:val="BodyTxt"/>
    <w:qFormat/>
    <w:rsid w:val="00AE0F60"/>
    <w:rPr>
      <w:rFonts w:asciiTheme="majorHAnsi" w:eastAsia="Times New Roman" w:hAnsiTheme="majorHAnsi" w:cstheme="majorHAnsi"/>
      <w:bCs/>
      <w:szCs w:val="3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44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commstemp2</dc:creator>
  <cp:lastModifiedBy>Kim Daire</cp:lastModifiedBy>
  <cp:revision>2</cp:revision>
  <dcterms:created xsi:type="dcterms:W3CDTF">2017-03-15T05:43:00Z</dcterms:created>
  <dcterms:modified xsi:type="dcterms:W3CDTF">2017-03-15T05:43:00Z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A2578415</vt:lpwstr>
  </property>
  <property fmtid="{D5CDD505-2E9C-101B-9397-08002B2CF9AE}" pid="4" name="Objective-Title">
    <vt:lpwstr>Exhibition community survey_Biodiversity Strategy_March 2017</vt:lpwstr>
  </property>
  <property fmtid="{D5CDD505-2E9C-101B-9397-08002B2CF9AE}" pid="5" name="Objective-Comment">
    <vt:lpwstr/>
  </property>
  <property fmtid="{D5CDD505-2E9C-101B-9397-08002B2CF9AE}" pid="6" name="Objective-CreationStamp">
    <vt:filetime>2017-03-02T00:35:43Z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2017-03-15T05:32:43Z</vt:filetime>
  </property>
  <property fmtid="{D5CDD505-2E9C-101B-9397-08002B2CF9AE}" pid="11" name="Objective-Owner">
    <vt:lpwstr>Kim Daire</vt:lpwstr>
  </property>
  <property fmtid="{D5CDD505-2E9C-101B-9397-08002B2CF9AE}" pid="12" name="Objective-Path">
    <vt:lpwstr>Objective Global Folder:.Strategy and Advocacy:Sustainability:Biodiversity Strategy 2016:2017 Biodiversity Strategy:2017 Biodiversity Strategy:community consultation - biodiversity strategy:</vt:lpwstr>
  </property>
  <property fmtid="{D5CDD505-2E9C-101B-9397-08002B2CF9AE}" pid="13" name="Objective-Parent">
    <vt:lpwstr>community consultation - biodiversity strategy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2.2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qA147324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