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09574C" w14:textId="0A593495" w:rsidR="00975342" w:rsidRPr="00CF33E9" w:rsidRDefault="00975342" w:rsidP="00975342">
      <w:pPr>
        <w:pStyle w:val="Caption"/>
        <w:keepNext/>
        <w:rPr>
          <w:b/>
          <w:bCs/>
          <w:i w:val="0"/>
          <w:iCs w:val="0"/>
          <w:color w:val="auto"/>
          <w:sz w:val="28"/>
          <w:szCs w:val="28"/>
        </w:rPr>
      </w:pPr>
      <w:r w:rsidRPr="00CF33E9">
        <w:rPr>
          <w:b/>
          <w:bCs/>
          <w:i w:val="0"/>
          <w:iCs w:val="0"/>
          <w:color w:val="auto"/>
          <w:sz w:val="28"/>
          <w:szCs w:val="28"/>
        </w:rPr>
        <w:t>List of exhibited schedules</w:t>
      </w:r>
    </w:p>
    <w:tbl>
      <w:tblPr>
        <w:tblStyle w:val="TableGrid"/>
        <w:tblW w:w="0" w:type="auto"/>
        <w:tblLook w:val="04A0" w:firstRow="1" w:lastRow="0" w:firstColumn="1" w:lastColumn="0" w:noHBand="0" w:noVBand="1"/>
      </w:tblPr>
      <w:tblGrid>
        <w:gridCol w:w="1080"/>
        <w:gridCol w:w="3970"/>
        <w:gridCol w:w="3966"/>
      </w:tblGrid>
      <w:tr w:rsidR="002A10E4" w:rsidRPr="003B6AD3" w14:paraId="65F7BD0B" w14:textId="77777777" w:rsidTr="00637DC7">
        <w:trPr>
          <w:tblHeader/>
        </w:trPr>
        <w:tc>
          <w:tcPr>
            <w:tcW w:w="1129" w:type="dxa"/>
          </w:tcPr>
          <w:p w14:paraId="0A5AAE86" w14:textId="63971743" w:rsidR="002A10E4" w:rsidRPr="003B6AD3" w:rsidRDefault="00D101AC" w:rsidP="000E167F">
            <w:pPr>
              <w:rPr>
                <w:b/>
                <w:bCs/>
              </w:rPr>
            </w:pPr>
            <w:r w:rsidRPr="003B6AD3">
              <w:rPr>
                <w:b/>
                <w:bCs/>
              </w:rPr>
              <w:t>Schedule</w:t>
            </w:r>
          </w:p>
        </w:tc>
        <w:tc>
          <w:tcPr>
            <w:tcW w:w="6521" w:type="dxa"/>
          </w:tcPr>
          <w:p w14:paraId="53E5FDA1" w14:textId="76992096" w:rsidR="002A10E4" w:rsidRPr="003B6AD3" w:rsidRDefault="002A10E4" w:rsidP="000E167F">
            <w:pPr>
              <w:rPr>
                <w:b/>
                <w:bCs/>
              </w:rPr>
            </w:pPr>
            <w:r w:rsidRPr="003B6AD3">
              <w:rPr>
                <w:b/>
                <w:bCs/>
              </w:rPr>
              <w:t>Description</w:t>
            </w:r>
          </w:p>
        </w:tc>
        <w:tc>
          <w:tcPr>
            <w:tcW w:w="6298" w:type="dxa"/>
          </w:tcPr>
          <w:p w14:paraId="393FF71C" w14:textId="3044AF39" w:rsidR="002A10E4" w:rsidRPr="003B6AD3" w:rsidRDefault="00D101AC" w:rsidP="000E167F">
            <w:pPr>
              <w:rPr>
                <w:b/>
                <w:bCs/>
              </w:rPr>
            </w:pPr>
            <w:r w:rsidRPr="003B6AD3">
              <w:rPr>
                <w:b/>
                <w:bCs/>
              </w:rPr>
              <w:t>Map area</w:t>
            </w:r>
          </w:p>
        </w:tc>
      </w:tr>
      <w:tr w:rsidR="002A10E4" w14:paraId="15BFEF78" w14:textId="63D165D1" w:rsidTr="00637DC7">
        <w:tc>
          <w:tcPr>
            <w:tcW w:w="1129" w:type="dxa"/>
          </w:tcPr>
          <w:p w14:paraId="70415F6D" w14:textId="625D29BD" w:rsidR="002A10E4" w:rsidRPr="005436CF" w:rsidRDefault="002A10E4" w:rsidP="000E167F">
            <w:pPr>
              <w:rPr>
                <w:b/>
                <w:bCs/>
              </w:rPr>
            </w:pPr>
            <w:r w:rsidRPr="005436CF">
              <w:rPr>
                <w:b/>
                <w:bCs/>
              </w:rPr>
              <w:t>RGZ1</w:t>
            </w:r>
          </w:p>
        </w:tc>
        <w:tc>
          <w:tcPr>
            <w:tcW w:w="6521" w:type="dxa"/>
          </w:tcPr>
          <w:p w14:paraId="37947627" w14:textId="77777777" w:rsidR="002A10E4" w:rsidRDefault="002A10E4" w:rsidP="000E167F">
            <w:r>
              <w:t>A standardised schedule with no neighbourhood character description, design objectives or variations to Clause 54 and 55 Standards. This replaced Council’s initial proposal for five RGZ schedules which included references to neighbourhood character types.</w:t>
            </w:r>
          </w:p>
          <w:p w14:paraId="16F6D116" w14:textId="4F6A2EDB" w:rsidR="002A10E4" w:rsidRDefault="002A10E4" w:rsidP="000E167F"/>
        </w:tc>
        <w:tc>
          <w:tcPr>
            <w:tcW w:w="6298" w:type="dxa"/>
          </w:tcPr>
          <w:p w14:paraId="6B942A6D" w14:textId="06304E56" w:rsidR="00FC110A" w:rsidRDefault="00FC110A" w:rsidP="000E167F"/>
          <w:p w14:paraId="0AA0F1CA" w14:textId="7914307C" w:rsidR="00FC110A" w:rsidRDefault="00716445" w:rsidP="000E167F">
            <w:r>
              <w:t>Planning Scheme</w:t>
            </w:r>
            <w:r w:rsidR="00FC110A">
              <w:t xml:space="preserve"> maps:</w:t>
            </w:r>
            <w:r w:rsidR="00E40C39">
              <w:t xml:space="preserve"> 3, 4, 9, 10, 11, 12, 13, 14, 15, 18, 19</w:t>
            </w:r>
          </w:p>
          <w:p w14:paraId="75D3338F" w14:textId="6A98FFF9" w:rsidR="002A10E4" w:rsidRDefault="00D101AC" w:rsidP="000E167F">
            <w:r>
              <w:t xml:space="preserve">Applies to </w:t>
            </w:r>
            <w:r w:rsidR="00771CBD">
              <w:t xml:space="preserve">sites within </w:t>
            </w:r>
            <w:r w:rsidR="00DF3E50">
              <w:t xml:space="preserve">existing </w:t>
            </w:r>
            <w:r>
              <w:t>strategic redevelopment areas</w:t>
            </w:r>
            <w:r w:rsidR="00DF3E50">
              <w:t>, major activity centres</w:t>
            </w:r>
            <w:r w:rsidR="00771CBD">
              <w:t xml:space="preserve"> and train stations</w:t>
            </w:r>
            <w:r>
              <w:t>:</w:t>
            </w:r>
          </w:p>
          <w:p w14:paraId="7FDC4C98" w14:textId="417350D7" w:rsidR="00DF3E50" w:rsidRDefault="00DF3E50" w:rsidP="00106DDE">
            <w:pPr>
              <w:pStyle w:val="ListParagraph"/>
              <w:numPr>
                <w:ilvl w:val="0"/>
                <w:numId w:val="11"/>
              </w:numPr>
            </w:pPr>
            <w:r>
              <w:t>Part of Precinct 16 (East)</w:t>
            </w:r>
          </w:p>
          <w:p w14:paraId="7FF1180D" w14:textId="6BDD9992" w:rsidR="00DF3E50" w:rsidRDefault="00DF3E50" w:rsidP="00106DDE">
            <w:pPr>
              <w:pStyle w:val="ListParagraph"/>
              <w:numPr>
                <w:ilvl w:val="0"/>
                <w:numId w:val="11"/>
              </w:numPr>
            </w:pPr>
            <w:r>
              <w:t>Part of Precinct 20 Former Port Phillip Woollen Mills</w:t>
            </w:r>
          </w:p>
          <w:p w14:paraId="6E3FE2B4" w14:textId="431CC6EC" w:rsidR="00771CBD" w:rsidRDefault="00DF3E50" w:rsidP="00106DDE">
            <w:pPr>
              <w:pStyle w:val="ListParagraph"/>
              <w:numPr>
                <w:ilvl w:val="0"/>
                <w:numId w:val="11"/>
              </w:numPr>
            </w:pPr>
            <w:r>
              <w:t>Williamstown and Altona MACs</w:t>
            </w:r>
          </w:p>
          <w:p w14:paraId="73F52519" w14:textId="42082FEA" w:rsidR="00DF3E50" w:rsidRDefault="00DF3E50" w:rsidP="00106DDE">
            <w:pPr>
              <w:pStyle w:val="ListParagraph"/>
              <w:numPr>
                <w:ilvl w:val="0"/>
                <w:numId w:val="11"/>
              </w:numPr>
            </w:pPr>
            <w:r>
              <w:t>Millers Road spine</w:t>
            </w:r>
          </w:p>
          <w:p w14:paraId="4F22F83A" w14:textId="0592C203" w:rsidR="00771CBD" w:rsidRDefault="00771CBD" w:rsidP="00106DDE">
            <w:pPr>
              <w:pStyle w:val="ListParagraph"/>
              <w:numPr>
                <w:ilvl w:val="0"/>
                <w:numId w:val="11"/>
              </w:numPr>
            </w:pPr>
            <w:r>
              <w:t>Westona and Laverton NACs</w:t>
            </w:r>
          </w:p>
          <w:p w14:paraId="733BE933" w14:textId="754989F4" w:rsidR="00D101AC" w:rsidRDefault="00D101AC" w:rsidP="00106DDE">
            <w:pPr>
              <w:pStyle w:val="ListParagraph"/>
              <w:numPr>
                <w:ilvl w:val="0"/>
                <w:numId w:val="11"/>
              </w:numPr>
            </w:pPr>
            <w:r>
              <w:t>240-258 Kororoit Creek Road</w:t>
            </w:r>
            <w:r w:rsidR="007240E5">
              <w:br/>
            </w:r>
          </w:p>
        </w:tc>
      </w:tr>
      <w:tr w:rsidR="002A10E4" w14:paraId="3E7F2221" w14:textId="5C6E4768" w:rsidTr="00637DC7">
        <w:tc>
          <w:tcPr>
            <w:tcW w:w="1129" w:type="dxa"/>
          </w:tcPr>
          <w:p w14:paraId="7F528417" w14:textId="54AB2788" w:rsidR="002A10E4" w:rsidRPr="005436CF" w:rsidRDefault="002A10E4" w:rsidP="000E167F">
            <w:pPr>
              <w:rPr>
                <w:b/>
                <w:bCs/>
              </w:rPr>
            </w:pPr>
            <w:r w:rsidRPr="005436CF">
              <w:rPr>
                <w:b/>
                <w:bCs/>
              </w:rPr>
              <w:t>GRZ1</w:t>
            </w:r>
          </w:p>
        </w:tc>
        <w:tc>
          <w:tcPr>
            <w:tcW w:w="6521" w:type="dxa"/>
          </w:tcPr>
          <w:p w14:paraId="2804BA59" w14:textId="77777777" w:rsidR="002A10E4" w:rsidRPr="005436CF" w:rsidRDefault="002A10E4" w:rsidP="000E167F">
            <w:pPr>
              <w:rPr>
                <w:b/>
                <w:bCs/>
              </w:rPr>
            </w:pPr>
            <w:r w:rsidRPr="005436CF">
              <w:rPr>
                <w:b/>
                <w:bCs/>
              </w:rPr>
              <w:t>Residential Areas</w:t>
            </w:r>
          </w:p>
          <w:p w14:paraId="524ED6FC" w14:textId="3F0B8073" w:rsidR="002A10E4" w:rsidRDefault="002A10E4" w:rsidP="004B7390">
            <w:pPr>
              <w:pStyle w:val="ListParagraph"/>
              <w:numPr>
                <w:ilvl w:val="0"/>
                <w:numId w:val="4"/>
              </w:numPr>
              <w:ind w:left="373" w:hanging="284"/>
            </w:pPr>
            <w:r>
              <w:t>applies to the current GRZ1 within the Newport excised area (not part of the amendment)</w:t>
            </w:r>
          </w:p>
          <w:p w14:paraId="6B8F0ADC" w14:textId="72C7A8B8" w:rsidR="002A10E4" w:rsidRDefault="002A10E4" w:rsidP="004B7390">
            <w:pPr>
              <w:pStyle w:val="ListParagraph"/>
              <w:numPr>
                <w:ilvl w:val="0"/>
                <w:numId w:val="4"/>
              </w:numPr>
              <w:ind w:left="373" w:hanging="284"/>
            </w:pPr>
            <w:r>
              <w:t>does not include the single dwelling permit trigger</w:t>
            </w:r>
          </w:p>
          <w:p w14:paraId="1BA25AB9" w14:textId="3F80490B" w:rsidR="002A10E4" w:rsidRDefault="002A10E4" w:rsidP="004B7390">
            <w:pPr>
              <w:pStyle w:val="ListParagraph"/>
              <w:numPr>
                <w:ilvl w:val="0"/>
                <w:numId w:val="4"/>
              </w:numPr>
              <w:ind w:left="373" w:hanging="284"/>
            </w:pPr>
            <w:r>
              <w:t>no neighbourhood character objectives or variations to Clause 54 or 55</w:t>
            </w:r>
          </w:p>
        </w:tc>
        <w:tc>
          <w:tcPr>
            <w:tcW w:w="6298" w:type="dxa"/>
          </w:tcPr>
          <w:p w14:paraId="3E8128BC" w14:textId="4A1D3D4B" w:rsidR="00637DC7" w:rsidRDefault="007240E5" w:rsidP="000E167F">
            <w:r>
              <w:br/>
            </w:r>
            <w:r w:rsidR="00716445">
              <w:t>M</w:t>
            </w:r>
            <w:r w:rsidR="00637DC7">
              <w:t>aps:</w:t>
            </w:r>
            <w:r w:rsidR="00E34563">
              <w:t xml:space="preserve"> 4, </w:t>
            </w:r>
            <w:r w:rsidR="00B31351">
              <w:t>10, 11</w:t>
            </w:r>
          </w:p>
          <w:p w14:paraId="0DB6409E" w14:textId="17E15AEC" w:rsidR="002A10E4" w:rsidRPr="007240E5" w:rsidRDefault="007240E5" w:rsidP="000E167F">
            <w:r>
              <w:t>Applies to part of Precinct 16 consistent with the current DDO10 (former Caltex Terminal, Blackshaws Road, South Kingsville), retained for the Newport Structure Plan project area excised from the amendment.</w:t>
            </w:r>
            <w:r w:rsidR="00B31351">
              <w:t xml:space="preserve"> The provisions in the schedule are consistent with the current GRZ1, which remains in place for the Newport excised area.</w:t>
            </w:r>
            <w:r w:rsidR="00E40C39">
              <w:br/>
            </w:r>
          </w:p>
        </w:tc>
      </w:tr>
      <w:tr w:rsidR="002A10E4" w14:paraId="7494F658" w14:textId="23D9AD17" w:rsidTr="00637DC7">
        <w:tc>
          <w:tcPr>
            <w:tcW w:w="1129" w:type="dxa"/>
          </w:tcPr>
          <w:p w14:paraId="2E4D2B4C" w14:textId="31E0327C" w:rsidR="002A10E4" w:rsidRPr="005436CF" w:rsidRDefault="002A10E4" w:rsidP="000E167F">
            <w:pPr>
              <w:rPr>
                <w:b/>
                <w:bCs/>
              </w:rPr>
            </w:pPr>
            <w:r w:rsidRPr="005436CF">
              <w:rPr>
                <w:b/>
                <w:bCs/>
              </w:rPr>
              <w:t>GRZ2</w:t>
            </w:r>
          </w:p>
        </w:tc>
        <w:tc>
          <w:tcPr>
            <w:tcW w:w="6521" w:type="dxa"/>
          </w:tcPr>
          <w:p w14:paraId="12A62610" w14:textId="77777777" w:rsidR="002A10E4" w:rsidRPr="00A712DC" w:rsidRDefault="002A10E4" w:rsidP="000E167F">
            <w:pPr>
              <w:rPr>
                <w:b/>
                <w:bCs/>
              </w:rPr>
            </w:pPr>
            <w:r w:rsidRPr="00A712DC">
              <w:rPr>
                <w:b/>
                <w:bCs/>
              </w:rPr>
              <w:t>Residential Areas, Altona and Williamstown</w:t>
            </w:r>
          </w:p>
          <w:p w14:paraId="0E586D31" w14:textId="2C6963FC" w:rsidR="002A10E4" w:rsidRDefault="002A10E4" w:rsidP="004B7390">
            <w:pPr>
              <w:pStyle w:val="ListParagraph"/>
              <w:numPr>
                <w:ilvl w:val="0"/>
                <w:numId w:val="4"/>
              </w:numPr>
              <w:ind w:left="373" w:hanging="284"/>
            </w:pPr>
            <w:r>
              <w:t>applies to current HO precinct areas that are affected by the current GRZ2, so includes the single dwelling permit trigger</w:t>
            </w:r>
          </w:p>
          <w:p w14:paraId="71619A15" w14:textId="77777777" w:rsidR="002A10E4" w:rsidRDefault="002A10E4" w:rsidP="004B7390">
            <w:pPr>
              <w:pStyle w:val="ListParagraph"/>
              <w:numPr>
                <w:ilvl w:val="0"/>
                <w:numId w:val="4"/>
              </w:numPr>
              <w:ind w:left="373" w:hanging="284"/>
            </w:pPr>
            <w:r>
              <w:t>no neighbourhood character objectives or variations to Clause 54 or 55</w:t>
            </w:r>
          </w:p>
          <w:p w14:paraId="6182DE3F" w14:textId="213E5AB7" w:rsidR="002A10E4" w:rsidRDefault="002A10E4" w:rsidP="004B7390">
            <w:pPr>
              <w:pStyle w:val="ListParagraph"/>
              <w:numPr>
                <w:ilvl w:val="0"/>
                <w:numId w:val="4"/>
              </w:numPr>
              <w:ind w:left="373" w:hanging="284"/>
            </w:pPr>
            <w:r>
              <w:t>defers to the HO for neighbourhood character guidance</w:t>
            </w:r>
            <w:r w:rsidR="007240E5">
              <w:br/>
            </w:r>
          </w:p>
        </w:tc>
        <w:tc>
          <w:tcPr>
            <w:tcW w:w="6298" w:type="dxa"/>
          </w:tcPr>
          <w:p w14:paraId="392F4E5D" w14:textId="77777777" w:rsidR="002A10E4" w:rsidRDefault="002A10E4" w:rsidP="000E167F">
            <w:pPr>
              <w:rPr>
                <w:b/>
                <w:bCs/>
              </w:rPr>
            </w:pPr>
          </w:p>
          <w:p w14:paraId="7F1C537F" w14:textId="4C3E38DC" w:rsidR="00637DC7" w:rsidRDefault="00716445" w:rsidP="008941DD">
            <w:r>
              <w:t>Map</w:t>
            </w:r>
            <w:r w:rsidR="00637DC7">
              <w:t>:</w:t>
            </w:r>
            <w:r w:rsidR="00B31351">
              <w:t xml:space="preserve"> 11</w:t>
            </w:r>
          </w:p>
          <w:p w14:paraId="7EC3B28C" w14:textId="3B69C53C" w:rsidR="008941DD" w:rsidRDefault="007240E5" w:rsidP="008941DD">
            <w:r w:rsidRPr="008941DD">
              <w:t>Applies to current GRZ2 areas within a heritage precinct overlay</w:t>
            </w:r>
            <w:r w:rsidR="008941DD" w:rsidRPr="008941DD">
              <w:t>, including parts of Williams</w:t>
            </w:r>
            <w:r w:rsidR="008941DD">
              <w:t xml:space="preserve">town and Newport. </w:t>
            </w:r>
            <w:r w:rsidR="008941DD" w:rsidRPr="008941DD">
              <w:t>Some of these locations include existing 3-storey development.</w:t>
            </w:r>
            <w:r w:rsidR="00A344A5">
              <w:t xml:space="preserve"> The provisions in the schedule are consistent with the current GRZ2, </w:t>
            </w:r>
            <w:r w:rsidR="00B31351">
              <w:t>which remains in place for the Newport excised area.</w:t>
            </w:r>
          </w:p>
          <w:p w14:paraId="63C05CCC" w14:textId="77777777" w:rsidR="00E40C39" w:rsidRDefault="00E40C39" w:rsidP="008941DD"/>
          <w:p w14:paraId="4FF778F3" w14:textId="77777777" w:rsidR="008941DD" w:rsidRDefault="008941DD" w:rsidP="008941DD">
            <w:pPr>
              <w:rPr>
                <w:b/>
                <w:bCs/>
              </w:rPr>
            </w:pPr>
          </w:p>
          <w:p w14:paraId="70D20DF7" w14:textId="09A4DDB3" w:rsidR="008941DD" w:rsidRPr="00A712DC" w:rsidRDefault="008941DD" w:rsidP="008941DD">
            <w:pPr>
              <w:rPr>
                <w:b/>
                <w:bCs/>
              </w:rPr>
            </w:pPr>
          </w:p>
        </w:tc>
      </w:tr>
      <w:tr w:rsidR="002A10E4" w14:paraId="11D39E50" w14:textId="456EA8ED" w:rsidTr="00637DC7">
        <w:tc>
          <w:tcPr>
            <w:tcW w:w="1129" w:type="dxa"/>
          </w:tcPr>
          <w:p w14:paraId="11BB778C" w14:textId="3EE56E1E" w:rsidR="002A10E4" w:rsidRPr="005436CF" w:rsidRDefault="002A10E4" w:rsidP="000E167F">
            <w:pPr>
              <w:rPr>
                <w:b/>
                <w:bCs/>
              </w:rPr>
            </w:pPr>
            <w:r w:rsidRPr="005436CF">
              <w:rPr>
                <w:b/>
                <w:bCs/>
              </w:rPr>
              <w:t>GRZ3</w:t>
            </w:r>
          </w:p>
        </w:tc>
        <w:tc>
          <w:tcPr>
            <w:tcW w:w="6521" w:type="dxa"/>
          </w:tcPr>
          <w:p w14:paraId="49270C66" w14:textId="77777777" w:rsidR="002A10E4" w:rsidRPr="00A712DC" w:rsidRDefault="002A10E4" w:rsidP="000E167F">
            <w:pPr>
              <w:rPr>
                <w:b/>
                <w:bCs/>
              </w:rPr>
            </w:pPr>
            <w:r w:rsidRPr="00A712DC">
              <w:rPr>
                <w:b/>
                <w:bCs/>
              </w:rPr>
              <w:t>Garden Urban Areas</w:t>
            </w:r>
          </w:p>
          <w:p w14:paraId="2C97FEF4" w14:textId="77777777" w:rsidR="002A10E4" w:rsidRDefault="002A10E4" w:rsidP="004B7390">
            <w:pPr>
              <w:pStyle w:val="ListParagraph"/>
              <w:numPr>
                <w:ilvl w:val="0"/>
                <w:numId w:val="4"/>
              </w:numPr>
              <w:ind w:left="373" w:hanging="284"/>
            </w:pPr>
            <w:r>
              <w:t>applies to both Garden Suburban and Garden Court character types in Moderate Change areas, combined in accordance with DELWP authorisation conditions</w:t>
            </w:r>
          </w:p>
          <w:p w14:paraId="2B2C56DA" w14:textId="7EFBAE41" w:rsidR="002A10E4" w:rsidRPr="00A712DC" w:rsidRDefault="002A10E4" w:rsidP="004B7390">
            <w:pPr>
              <w:pStyle w:val="ListParagraph"/>
              <w:numPr>
                <w:ilvl w:val="0"/>
                <w:numId w:val="4"/>
              </w:numPr>
              <w:ind w:left="373" w:hanging="284"/>
            </w:pPr>
            <w:r w:rsidRPr="00A712DC">
              <w:t xml:space="preserve">applies to areas that are </w:t>
            </w:r>
            <w:r w:rsidRPr="004B7390">
              <w:t>not</w:t>
            </w:r>
            <w:r w:rsidRPr="00A712DC">
              <w:t xml:space="preserve"> affected by the current GRZ2, so does not </w:t>
            </w:r>
            <w:r w:rsidRPr="00A712DC">
              <w:lastRenderedPageBreak/>
              <w:t>include the single dwelling permit trigger</w:t>
            </w:r>
          </w:p>
          <w:p w14:paraId="5FE5E6C9" w14:textId="358B31A1" w:rsidR="002A10E4" w:rsidRDefault="002A10E4" w:rsidP="004B7390">
            <w:pPr>
              <w:pStyle w:val="ListParagraph"/>
              <w:numPr>
                <w:ilvl w:val="0"/>
                <w:numId w:val="4"/>
              </w:numPr>
              <w:ind w:left="373" w:hanging="284"/>
            </w:pPr>
            <w:r>
              <w:t xml:space="preserve">includes neighbourhood character objectives and </w:t>
            </w:r>
            <w:r w:rsidR="001D3DE6">
              <w:t xml:space="preserve">local </w:t>
            </w:r>
            <w:r>
              <w:t xml:space="preserve">variations to </w:t>
            </w:r>
            <w:r w:rsidR="001D3DE6">
              <w:t>landscaping, private open space, and front fences</w:t>
            </w:r>
            <w:r w:rsidR="002C05AD">
              <w:br/>
            </w:r>
          </w:p>
        </w:tc>
        <w:tc>
          <w:tcPr>
            <w:tcW w:w="6298" w:type="dxa"/>
          </w:tcPr>
          <w:p w14:paraId="6D094D70" w14:textId="77777777" w:rsidR="002A10E4" w:rsidRDefault="002A10E4" w:rsidP="000E167F">
            <w:pPr>
              <w:rPr>
                <w:b/>
                <w:bCs/>
              </w:rPr>
            </w:pPr>
          </w:p>
          <w:p w14:paraId="5F6F14CC" w14:textId="5C600B80" w:rsidR="00C521F5" w:rsidRDefault="00716445" w:rsidP="000E167F">
            <w:r>
              <w:t>Maps</w:t>
            </w:r>
            <w:r w:rsidR="00C521F5">
              <w:t>:</w:t>
            </w:r>
            <w:r w:rsidR="00BB7ED7">
              <w:t xml:space="preserve"> 3, 4, 9, 10, 11, 12, 13 </w:t>
            </w:r>
          </w:p>
          <w:p w14:paraId="41537107" w14:textId="4ACE17AD" w:rsidR="008941DD" w:rsidRPr="00FC110A" w:rsidRDefault="008941DD" w:rsidP="000E167F">
            <w:r w:rsidRPr="00FC110A">
              <w:t xml:space="preserve">Applies to areas in South Kingsville, Spotswood, Newport, Williamstown North, Altona North, </w:t>
            </w:r>
            <w:r w:rsidR="00FC110A" w:rsidRPr="00FC110A">
              <w:t>Altona Meadows</w:t>
            </w:r>
            <w:r w:rsidR="00FC110A">
              <w:t>,</w:t>
            </w:r>
            <w:r w:rsidR="00FC110A" w:rsidRPr="00FC110A">
              <w:t xml:space="preserve"> and Laverton.</w:t>
            </w:r>
          </w:p>
        </w:tc>
      </w:tr>
      <w:tr w:rsidR="002A10E4" w14:paraId="64C83136" w14:textId="3923E6B8" w:rsidTr="00637DC7">
        <w:tc>
          <w:tcPr>
            <w:tcW w:w="1129" w:type="dxa"/>
          </w:tcPr>
          <w:p w14:paraId="232982AA" w14:textId="077F884C" w:rsidR="002A10E4" w:rsidRPr="005436CF" w:rsidRDefault="002A10E4" w:rsidP="000E167F">
            <w:pPr>
              <w:rPr>
                <w:b/>
                <w:bCs/>
              </w:rPr>
            </w:pPr>
            <w:r w:rsidRPr="005436CF">
              <w:rPr>
                <w:b/>
                <w:bCs/>
              </w:rPr>
              <w:t>GRZ4</w:t>
            </w:r>
          </w:p>
        </w:tc>
        <w:tc>
          <w:tcPr>
            <w:tcW w:w="6521" w:type="dxa"/>
          </w:tcPr>
          <w:p w14:paraId="680AE69E" w14:textId="77777777" w:rsidR="002A10E4" w:rsidRPr="000E5DC9" w:rsidRDefault="002A10E4" w:rsidP="000E167F">
            <w:pPr>
              <w:rPr>
                <w:b/>
                <w:bCs/>
              </w:rPr>
            </w:pPr>
            <w:r w:rsidRPr="000E5DC9">
              <w:rPr>
                <w:b/>
                <w:bCs/>
              </w:rPr>
              <w:t>Garden Urban Areas, Altona and Williamstown</w:t>
            </w:r>
          </w:p>
          <w:p w14:paraId="67E4A081" w14:textId="77777777" w:rsidR="002A10E4" w:rsidRDefault="002A10E4" w:rsidP="004B7390">
            <w:pPr>
              <w:pStyle w:val="ListParagraph"/>
              <w:numPr>
                <w:ilvl w:val="0"/>
                <w:numId w:val="4"/>
              </w:numPr>
              <w:ind w:left="373" w:hanging="284"/>
            </w:pPr>
            <w:r>
              <w:t>applies to both Garden Suburban and Garden Court character types in Moderate Change areas, combined in accordance with DELWP authorisation conditions</w:t>
            </w:r>
          </w:p>
          <w:p w14:paraId="48EE72E4" w14:textId="06F69221" w:rsidR="002A10E4" w:rsidRPr="00A712DC" w:rsidRDefault="002A10E4" w:rsidP="004B7390">
            <w:pPr>
              <w:pStyle w:val="ListParagraph"/>
              <w:numPr>
                <w:ilvl w:val="0"/>
                <w:numId w:val="4"/>
              </w:numPr>
              <w:ind w:left="373" w:hanging="284"/>
            </w:pPr>
            <w:r w:rsidRPr="00A712DC">
              <w:t>applies to areas affected by the current GRZ2, so include</w:t>
            </w:r>
            <w:r>
              <w:t>s</w:t>
            </w:r>
            <w:r w:rsidRPr="00A712DC">
              <w:t xml:space="preserve"> the single dwelling permit trigger</w:t>
            </w:r>
          </w:p>
          <w:p w14:paraId="0A867F24" w14:textId="51B7D9A8" w:rsidR="002A10E4" w:rsidRDefault="002A10E4" w:rsidP="004B7390">
            <w:pPr>
              <w:pStyle w:val="ListParagraph"/>
              <w:numPr>
                <w:ilvl w:val="0"/>
                <w:numId w:val="4"/>
              </w:numPr>
              <w:ind w:left="373" w:hanging="284"/>
            </w:pPr>
            <w:r>
              <w:t xml:space="preserve">includes neighbourhood character objectives and </w:t>
            </w:r>
            <w:r w:rsidR="001D3DE6">
              <w:t xml:space="preserve">local </w:t>
            </w:r>
            <w:r>
              <w:t xml:space="preserve">variations to </w:t>
            </w:r>
            <w:r w:rsidR="001D3DE6">
              <w:t>landscaping, private open space and front fences</w:t>
            </w:r>
            <w:r w:rsidR="002C05AD">
              <w:br/>
            </w:r>
          </w:p>
        </w:tc>
        <w:tc>
          <w:tcPr>
            <w:tcW w:w="6298" w:type="dxa"/>
          </w:tcPr>
          <w:p w14:paraId="554E4A4C" w14:textId="77777777" w:rsidR="002A10E4" w:rsidRDefault="002A10E4" w:rsidP="000E167F">
            <w:pPr>
              <w:rPr>
                <w:b/>
                <w:bCs/>
              </w:rPr>
            </w:pPr>
          </w:p>
          <w:p w14:paraId="6C09033D" w14:textId="5F3D1AB1" w:rsidR="00FC110A" w:rsidRPr="00C521F5" w:rsidRDefault="00716445" w:rsidP="000E167F">
            <w:r>
              <w:t>Maps</w:t>
            </w:r>
            <w:r w:rsidR="00C521F5">
              <w:t>:</w:t>
            </w:r>
            <w:r w:rsidR="00C521F5" w:rsidRPr="00C521F5">
              <w:t xml:space="preserve"> 14, 15, 16</w:t>
            </w:r>
          </w:p>
          <w:p w14:paraId="3156FE21" w14:textId="12DC5C3E" w:rsidR="00C521F5" w:rsidRPr="000E5DC9" w:rsidRDefault="00C521F5" w:rsidP="000E167F">
            <w:pPr>
              <w:rPr>
                <w:b/>
                <w:bCs/>
              </w:rPr>
            </w:pPr>
            <w:r w:rsidRPr="00C521F5">
              <w:t>Applies to areas generally between Seaholme and Dove Avenue, Altona</w:t>
            </w:r>
            <w:r w:rsidR="00530888">
              <w:t>.</w:t>
            </w:r>
          </w:p>
        </w:tc>
      </w:tr>
      <w:tr w:rsidR="002A10E4" w14:paraId="2621B845" w14:textId="7160174B" w:rsidTr="00637DC7">
        <w:tc>
          <w:tcPr>
            <w:tcW w:w="1129" w:type="dxa"/>
          </w:tcPr>
          <w:p w14:paraId="33841978" w14:textId="4A8A4848" w:rsidR="002A10E4" w:rsidRPr="005436CF" w:rsidRDefault="002A10E4" w:rsidP="000E167F">
            <w:pPr>
              <w:rPr>
                <w:b/>
                <w:bCs/>
              </w:rPr>
            </w:pPr>
            <w:r w:rsidRPr="005436CF">
              <w:rPr>
                <w:b/>
                <w:bCs/>
              </w:rPr>
              <w:t>GRZ5</w:t>
            </w:r>
          </w:p>
        </w:tc>
        <w:tc>
          <w:tcPr>
            <w:tcW w:w="6521" w:type="dxa"/>
          </w:tcPr>
          <w:p w14:paraId="4387D805" w14:textId="77777777" w:rsidR="002A10E4" w:rsidRPr="000E5DC9" w:rsidRDefault="002A10E4" w:rsidP="000E167F">
            <w:pPr>
              <w:rPr>
                <w:b/>
                <w:bCs/>
              </w:rPr>
            </w:pPr>
            <w:r w:rsidRPr="000E5DC9">
              <w:rPr>
                <w:b/>
                <w:bCs/>
              </w:rPr>
              <w:t>Inner Suburban Areas, Spotswood</w:t>
            </w:r>
          </w:p>
          <w:p w14:paraId="0D9488B7" w14:textId="4D330A76" w:rsidR="002A10E4" w:rsidRDefault="002A10E4" w:rsidP="004B7390">
            <w:pPr>
              <w:pStyle w:val="ListParagraph"/>
              <w:numPr>
                <w:ilvl w:val="0"/>
                <w:numId w:val="4"/>
              </w:numPr>
              <w:ind w:left="373" w:hanging="284"/>
            </w:pPr>
            <w:r>
              <w:t>has been renamed from Inner Urban/Garden Suburban character type</w:t>
            </w:r>
          </w:p>
          <w:p w14:paraId="3A2530ED" w14:textId="559041E0" w:rsidR="002A10E4" w:rsidRDefault="002A10E4" w:rsidP="004B7390">
            <w:pPr>
              <w:pStyle w:val="ListParagraph"/>
              <w:numPr>
                <w:ilvl w:val="0"/>
                <w:numId w:val="4"/>
              </w:numPr>
              <w:ind w:left="373" w:hanging="284"/>
            </w:pPr>
            <w:r w:rsidRPr="000E5DC9">
              <w:t xml:space="preserve">applies to areas that are </w:t>
            </w:r>
            <w:r w:rsidRPr="004B7390">
              <w:t>not</w:t>
            </w:r>
            <w:r w:rsidRPr="000E5DC9">
              <w:t xml:space="preserve"> affected by the current GRZ2, so does not include the single dwelling permit trigger</w:t>
            </w:r>
          </w:p>
          <w:p w14:paraId="664EB121" w14:textId="77777777" w:rsidR="002A10E4" w:rsidRDefault="002A10E4" w:rsidP="004B7390">
            <w:pPr>
              <w:pStyle w:val="ListParagraph"/>
              <w:numPr>
                <w:ilvl w:val="0"/>
                <w:numId w:val="4"/>
              </w:numPr>
              <w:ind w:left="373" w:hanging="284"/>
            </w:pPr>
            <w:r w:rsidRPr="000E5DC9">
              <w:t xml:space="preserve">includes neighbourhood character objectives and </w:t>
            </w:r>
            <w:r w:rsidR="00637DC7">
              <w:t xml:space="preserve">local </w:t>
            </w:r>
            <w:r w:rsidRPr="000E5DC9">
              <w:t>variations to</w:t>
            </w:r>
            <w:r w:rsidR="00637DC7">
              <w:t xml:space="preserve"> landscaping, private open space, and front fences</w:t>
            </w:r>
            <w:r w:rsidR="002C05AD">
              <w:br/>
            </w:r>
          </w:p>
          <w:p w14:paraId="4A6BD8AB" w14:textId="77777777" w:rsidR="00E40C39" w:rsidRDefault="00E40C39" w:rsidP="00E40C39"/>
          <w:p w14:paraId="65BBBFB7" w14:textId="77777777" w:rsidR="00E40C39" w:rsidRDefault="00E40C39" w:rsidP="00E40C39"/>
          <w:p w14:paraId="7333C1CF" w14:textId="77777777" w:rsidR="00E40C39" w:rsidRDefault="00E40C39" w:rsidP="00E40C39"/>
          <w:p w14:paraId="6DD1D693" w14:textId="6EB6BB13" w:rsidR="00E40C39" w:rsidRDefault="00E40C39" w:rsidP="00E40C39"/>
        </w:tc>
        <w:tc>
          <w:tcPr>
            <w:tcW w:w="6298" w:type="dxa"/>
          </w:tcPr>
          <w:p w14:paraId="01DEB03C" w14:textId="77777777" w:rsidR="002A10E4" w:rsidRDefault="002A10E4" w:rsidP="000E167F">
            <w:pPr>
              <w:rPr>
                <w:b/>
                <w:bCs/>
              </w:rPr>
            </w:pPr>
          </w:p>
          <w:p w14:paraId="39056D53" w14:textId="1E54CC81" w:rsidR="00637DC7" w:rsidRPr="00637DC7" w:rsidRDefault="00716445" w:rsidP="000E167F">
            <w:r>
              <w:t>Maps</w:t>
            </w:r>
            <w:r w:rsidR="00637DC7" w:rsidRPr="00637DC7">
              <w:t>:</w:t>
            </w:r>
            <w:r w:rsidR="00637DC7">
              <w:t xml:space="preserve"> 4, 5, 11</w:t>
            </w:r>
          </w:p>
          <w:p w14:paraId="0E6A9A40" w14:textId="69807CE4" w:rsidR="00637DC7" w:rsidRPr="000E5DC9" w:rsidRDefault="00637DC7" w:rsidP="000E167F">
            <w:pPr>
              <w:rPr>
                <w:b/>
                <w:bCs/>
              </w:rPr>
            </w:pPr>
            <w:r w:rsidRPr="00637DC7">
              <w:t>Applies</w:t>
            </w:r>
            <w:r>
              <w:t xml:space="preserve"> to areas in Spotswood and Williamstown (Power Street corridor).</w:t>
            </w:r>
          </w:p>
        </w:tc>
      </w:tr>
      <w:tr w:rsidR="002A10E4" w14:paraId="51A0EB65" w14:textId="2AAC426C" w:rsidTr="00637DC7">
        <w:tc>
          <w:tcPr>
            <w:tcW w:w="1129" w:type="dxa"/>
          </w:tcPr>
          <w:p w14:paraId="3D2ED56D" w14:textId="432D6514" w:rsidR="002A10E4" w:rsidRPr="005436CF" w:rsidRDefault="002A10E4" w:rsidP="000E167F">
            <w:pPr>
              <w:rPr>
                <w:b/>
                <w:bCs/>
              </w:rPr>
            </w:pPr>
            <w:r>
              <w:rPr>
                <w:b/>
                <w:bCs/>
              </w:rPr>
              <w:t>GRZ6</w:t>
            </w:r>
          </w:p>
        </w:tc>
        <w:tc>
          <w:tcPr>
            <w:tcW w:w="6521" w:type="dxa"/>
          </w:tcPr>
          <w:p w14:paraId="2C9D60AA" w14:textId="77777777" w:rsidR="002A10E4" w:rsidRPr="00414C55" w:rsidRDefault="002A10E4" w:rsidP="000E167F">
            <w:pPr>
              <w:rPr>
                <w:b/>
                <w:bCs/>
              </w:rPr>
            </w:pPr>
            <w:r w:rsidRPr="00414C55">
              <w:rPr>
                <w:b/>
                <w:bCs/>
              </w:rPr>
              <w:t>Urban Contemporary Areas, Mason Street, Newport</w:t>
            </w:r>
          </w:p>
          <w:p w14:paraId="1D448182" w14:textId="77777777" w:rsidR="002A10E4" w:rsidRPr="00414C55" w:rsidRDefault="002A10E4" w:rsidP="004B7390">
            <w:pPr>
              <w:pStyle w:val="ListParagraph"/>
              <w:numPr>
                <w:ilvl w:val="0"/>
                <w:numId w:val="4"/>
              </w:numPr>
              <w:ind w:left="373" w:hanging="284"/>
            </w:pPr>
            <w:r w:rsidRPr="00414C55">
              <w:t xml:space="preserve">applies to areas that are </w:t>
            </w:r>
            <w:r w:rsidRPr="004B7390">
              <w:t>not</w:t>
            </w:r>
            <w:r w:rsidRPr="00414C55">
              <w:t xml:space="preserve"> affected by the current GRZ2, so does not include the single dwelling permit trigger</w:t>
            </w:r>
          </w:p>
          <w:p w14:paraId="48BE8FD6" w14:textId="160534DC" w:rsidR="002A10E4" w:rsidRDefault="002A10E4" w:rsidP="004B7390">
            <w:pPr>
              <w:pStyle w:val="ListParagraph"/>
              <w:numPr>
                <w:ilvl w:val="0"/>
                <w:numId w:val="4"/>
              </w:numPr>
              <w:ind w:left="373" w:hanging="284"/>
            </w:pPr>
            <w:r w:rsidRPr="00414C55">
              <w:t xml:space="preserve">includes neighbourhood character objectives and </w:t>
            </w:r>
            <w:r w:rsidR="00637DC7">
              <w:t xml:space="preserve">local </w:t>
            </w:r>
            <w:r w:rsidRPr="00414C55">
              <w:t xml:space="preserve">variations to </w:t>
            </w:r>
            <w:r w:rsidR="00637DC7">
              <w:t xml:space="preserve">landscaping, </w:t>
            </w:r>
            <w:r w:rsidR="001D3DE6">
              <w:t>private open space, and front fences</w:t>
            </w:r>
          </w:p>
        </w:tc>
        <w:tc>
          <w:tcPr>
            <w:tcW w:w="6298" w:type="dxa"/>
          </w:tcPr>
          <w:p w14:paraId="2087FF75" w14:textId="77777777" w:rsidR="002A10E4" w:rsidRDefault="002A10E4" w:rsidP="000E167F">
            <w:pPr>
              <w:rPr>
                <w:b/>
                <w:bCs/>
              </w:rPr>
            </w:pPr>
          </w:p>
          <w:p w14:paraId="161D0180" w14:textId="59810838" w:rsidR="00637DC7" w:rsidRPr="00637DC7" w:rsidRDefault="00716445" w:rsidP="000E167F">
            <w:r>
              <w:t>Maps</w:t>
            </w:r>
            <w:r w:rsidR="00637DC7" w:rsidRPr="00637DC7">
              <w:t>:</w:t>
            </w:r>
            <w:r w:rsidR="001D3DE6">
              <w:t xml:space="preserve"> 10</w:t>
            </w:r>
          </w:p>
          <w:p w14:paraId="2D7CF36A" w14:textId="2DA582CC" w:rsidR="00637DC7" w:rsidRPr="001D3DE6" w:rsidRDefault="001D3DE6" w:rsidP="000E167F">
            <w:r w:rsidRPr="001D3DE6">
              <w:t xml:space="preserve">Applies to </w:t>
            </w:r>
            <w:r>
              <w:t xml:space="preserve">existing townhouse development </w:t>
            </w:r>
            <w:r w:rsidRPr="001D3DE6">
              <w:t>site on Mason Street, Newport</w:t>
            </w:r>
            <w:r>
              <w:t>.</w:t>
            </w:r>
          </w:p>
        </w:tc>
      </w:tr>
      <w:tr w:rsidR="002A10E4" w14:paraId="3194A3E3" w14:textId="2D92FC9B" w:rsidTr="00637DC7">
        <w:tc>
          <w:tcPr>
            <w:tcW w:w="1129" w:type="dxa"/>
          </w:tcPr>
          <w:p w14:paraId="066BE70E" w14:textId="37E6165A" w:rsidR="002A10E4" w:rsidRPr="005436CF" w:rsidRDefault="002A10E4" w:rsidP="000E167F">
            <w:pPr>
              <w:rPr>
                <w:b/>
                <w:bCs/>
              </w:rPr>
            </w:pPr>
            <w:r>
              <w:rPr>
                <w:b/>
                <w:bCs/>
              </w:rPr>
              <w:lastRenderedPageBreak/>
              <w:t>GRZ7</w:t>
            </w:r>
          </w:p>
        </w:tc>
        <w:tc>
          <w:tcPr>
            <w:tcW w:w="6521" w:type="dxa"/>
          </w:tcPr>
          <w:p w14:paraId="7E984C2C" w14:textId="56D1E6FF" w:rsidR="002A10E4" w:rsidRPr="00414C55" w:rsidRDefault="002A10E4" w:rsidP="000E167F">
            <w:pPr>
              <w:rPr>
                <w:b/>
                <w:bCs/>
              </w:rPr>
            </w:pPr>
            <w:r w:rsidRPr="00414C55">
              <w:rPr>
                <w:b/>
                <w:bCs/>
              </w:rPr>
              <w:t xml:space="preserve">Urban Contemporary Areas, </w:t>
            </w:r>
            <w:r>
              <w:rPr>
                <w:b/>
                <w:bCs/>
              </w:rPr>
              <w:t>The Range, Williamstown</w:t>
            </w:r>
          </w:p>
          <w:p w14:paraId="33AF4113" w14:textId="4D979A81" w:rsidR="002A10E4" w:rsidRDefault="002A10E4" w:rsidP="004B7390">
            <w:pPr>
              <w:pStyle w:val="ListParagraph"/>
              <w:numPr>
                <w:ilvl w:val="0"/>
                <w:numId w:val="4"/>
              </w:numPr>
              <w:ind w:left="373" w:hanging="284"/>
            </w:pPr>
            <w:r w:rsidRPr="00414C55">
              <w:t xml:space="preserve">applies to areas that are </w:t>
            </w:r>
            <w:r w:rsidRPr="004B7390">
              <w:t>not</w:t>
            </w:r>
            <w:r w:rsidRPr="00414C55">
              <w:t xml:space="preserve"> affected by the current GRZ2, so does not include the single dwelling permit trigger</w:t>
            </w:r>
          </w:p>
          <w:p w14:paraId="0537F384" w14:textId="7981B5BC" w:rsidR="002A10E4" w:rsidRDefault="002A10E4" w:rsidP="004B7390">
            <w:pPr>
              <w:pStyle w:val="ListParagraph"/>
              <w:numPr>
                <w:ilvl w:val="0"/>
                <w:numId w:val="4"/>
              </w:numPr>
              <w:ind w:left="373" w:hanging="284"/>
            </w:pPr>
            <w:r w:rsidRPr="00414C55">
              <w:t xml:space="preserve">includes neighbourhood character objectives and </w:t>
            </w:r>
            <w:r w:rsidR="00286F66">
              <w:t xml:space="preserve">local </w:t>
            </w:r>
            <w:r w:rsidRPr="00414C55">
              <w:t xml:space="preserve">variations to </w:t>
            </w:r>
            <w:r w:rsidR="00286F66">
              <w:t>landscaping, private open space, and front fences</w:t>
            </w:r>
          </w:p>
          <w:p w14:paraId="748BC86B" w14:textId="239F106C" w:rsidR="002A10E4" w:rsidRDefault="002A10E4" w:rsidP="004B7390">
            <w:pPr>
              <w:pStyle w:val="ListParagraph"/>
              <w:numPr>
                <w:ilvl w:val="0"/>
                <w:numId w:val="4"/>
              </w:numPr>
              <w:ind w:left="373" w:hanging="284"/>
            </w:pPr>
            <w:r>
              <w:t>maximum building height is increased to 12 metres and 3 storeys to provide consistency with Rifle Range Estate registered plan</w:t>
            </w:r>
            <w:r w:rsidR="00E40C39">
              <w:br/>
            </w:r>
          </w:p>
        </w:tc>
        <w:tc>
          <w:tcPr>
            <w:tcW w:w="6298" w:type="dxa"/>
          </w:tcPr>
          <w:p w14:paraId="16D2CA58" w14:textId="77777777" w:rsidR="002A10E4" w:rsidRDefault="002A10E4" w:rsidP="000E167F">
            <w:pPr>
              <w:rPr>
                <w:b/>
                <w:bCs/>
              </w:rPr>
            </w:pPr>
          </w:p>
          <w:p w14:paraId="7AF18AA4" w14:textId="1D5B868A" w:rsidR="00286F66" w:rsidRPr="00286F66" w:rsidRDefault="00716445" w:rsidP="000E167F">
            <w:r>
              <w:t>Maps</w:t>
            </w:r>
            <w:r w:rsidR="00286F66" w:rsidRPr="00286F66">
              <w:t>:</w:t>
            </w:r>
            <w:r w:rsidR="00286F66">
              <w:t xml:space="preserve"> 10, </w:t>
            </w:r>
            <w:r w:rsidR="00637DC7">
              <w:t>17, 18</w:t>
            </w:r>
            <w:r w:rsidR="00637DC7">
              <w:br/>
              <w:t>Applies to areas in Williamstown, generally between Bayview Street and Caspian Terrarce.</w:t>
            </w:r>
          </w:p>
        </w:tc>
      </w:tr>
      <w:tr w:rsidR="002A10E4" w14:paraId="644AAF6E" w14:textId="1F60A898" w:rsidTr="00637DC7">
        <w:tc>
          <w:tcPr>
            <w:tcW w:w="1129" w:type="dxa"/>
          </w:tcPr>
          <w:p w14:paraId="78E3CF2C" w14:textId="7566E077" w:rsidR="002A10E4" w:rsidRPr="005436CF" w:rsidRDefault="002A10E4" w:rsidP="000E167F">
            <w:pPr>
              <w:rPr>
                <w:b/>
                <w:bCs/>
              </w:rPr>
            </w:pPr>
            <w:r>
              <w:rPr>
                <w:b/>
                <w:bCs/>
              </w:rPr>
              <w:t>GRZ8</w:t>
            </w:r>
          </w:p>
        </w:tc>
        <w:tc>
          <w:tcPr>
            <w:tcW w:w="6521" w:type="dxa"/>
          </w:tcPr>
          <w:p w14:paraId="3893D5B4" w14:textId="77777777" w:rsidR="002A10E4" w:rsidRPr="00BA5AD8" w:rsidRDefault="002A10E4" w:rsidP="000E167F">
            <w:pPr>
              <w:rPr>
                <w:b/>
                <w:bCs/>
              </w:rPr>
            </w:pPr>
            <w:r w:rsidRPr="00BA5AD8">
              <w:rPr>
                <w:b/>
                <w:bCs/>
              </w:rPr>
              <w:t>Urban Contemporary Areas Williamstown North, Liley Street and Power Street, Williamstown</w:t>
            </w:r>
          </w:p>
          <w:p w14:paraId="141F3C29" w14:textId="77777777" w:rsidR="002A10E4" w:rsidRPr="00BA5AD8" w:rsidRDefault="002A10E4" w:rsidP="004B7390">
            <w:pPr>
              <w:pStyle w:val="ListParagraph"/>
              <w:numPr>
                <w:ilvl w:val="0"/>
                <w:numId w:val="4"/>
              </w:numPr>
              <w:ind w:left="373" w:hanging="284"/>
            </w:pPr>
            <w:r w:rsidRPr="00BA5AD8">
              <w:t xml:space="preserve">applies to areas that are </w:t>
            </w:r>
            <w:r w:rsidRPr="004B7390">
              <w:t>not</w:t>
            </w:r>
            <w:r w:rsidRPr="00BA5AD8">
              <w:t xml:space="preserve"> affected by the current GRZ2, so does not include the single dwelling permit trigger</w:t>
            </w:r>
          </w:p>
          <w:p w14:paraId="568FC378" w14:textId="60C998D6" w:rsidR="002A10E4" w:rsidRDefault="002A10E4" w:rsidP="004B7390">
            <w:pPr>
              <w:pStyle w:val="ListParagraph"/>
              <w:numPr>
                <w:ilvl w:val="0"/>
                <w:numId w:val="4"/>
              </w:numPr>
              <w:ind w:left="373" w:hanging="284"/>
            </w:pPr>
            <w:r w:rsidRPr="00BA5AD8">
              <w:t xml:space="preserve">includes neighbourhood character objectives and </w:t>
            </w:r>
            <w:r w:rsidR="00286F66">
              <w:t xml:space="preserve">local </w:t>
            </w:r>
            <w:r w:rsidRPr="00BA5AD8">
              <w:t xml:space="preserve">variations to </w:t>
            </w:r>
            <w:r w:rsidR="00286F66">
              <w:t>landscaping, private open space, and front fences</w:t>
            </w:r>
          </w:p>
        </w:tc>
        <w:tc>
          <w:tcPr>
            <w:tcW w:w="6298" w:type="dxa"/>
          </w:tcPr>
          <w:p w14:paraId="4B57F85D" w14:textId="77777777" w:rsidR="002A10E4" w:rsidRDefault="002A10E4" w:rsidP="000E167F">
            <w:pPr>
              <w:rPr>
                <w:b/>
                <w:bCs/>
              </w:rPr>
            </w:pPr>
          </w:p>
          <w:p w14:paraId="3BF09739" w14:textId="5C50F363" w:rsidR="00286F66" w:rsidRDefault="00716445" w:rsidP="000E167F">
            <w:r>
              <w:t>Map</w:t>
            </w:r>
            <w:r w:rsidR="00286F66" w:rsidRPr="00286F66">
              <w:t>:</w:t>
            </w:r>
            <w:r w:rsidR="00286F66">
              <w:t xml:space="preserve"> 11</w:t>
            </w:r>
          </w:p>
          <w:p w14:paraId="5A30A22A" w14:textId="54065FA4" w:rsidR="00286F66" w:rsidRPr="00286F66" w:rsidRDefault="00286F66" w:rsidP="000E167F">
            <w:r>
              <w:t>Applies to specific sites in Williamstown.</w:t>
            </w:r>
          </w:p>
        </w:tc>
      </w:tr>
      <w:tr w:rsidR="002A10E4" w14:paraId="0D5421F3" w14:textId="16CA0206" w:rsidTr="00637DC7">
        <w:tc>
          <w:tcPr>
            <w:tcW w:w="1129" w:type="dxa"/>
          </w:tcPr>
          <w:p w14:paraId="40FE8F2F" w14:textId="3DDEB4E5" w:rsidR="002A10E4" w:rsidRPr="005436CF" w:rsidRDefault="002A10E4" w:rsidP="000E167F">
            <w:pPr>
              <w:rPr>
                <w:b/>
                <w:bCs/>
              </w:rPr>
            </w:pPr>
            <w:r w:rsidRPr="005436CF">
              <w:rPr>
                <w:b/>
                <w:bCs/>
              </w:rPr>
              <w:t>NRZ</w:t>
            </w:r>
            <w:r>
              <w:rPr>
                <w:b/>
                <w:bCs/>
              </w:rPr>
              <w:t>1</w:t>
            </w:r>
          </w:p>
        </w:tc>
        <w:tc>
          <w:tcPr>
            <w:tcW w:w="6521" w:type="dxa"/>
          </w:tcPr>
          <w:p w14:paraId="35520B90" w14:textId="77777777" w:rsidR="002A10E4" w:rsidRPr="00C101E8" w:rsidRDefault="00C101E8" w:rsidP="000E167F">
            <w:pPr>
              <w:rPr>
                <w:b/>
                <w:bCs/>
              </w:rPr>
            </w:pPr>
            <w:r w:rsidRPr="00C101E8">
              <w:rPr>
                <w:b/>
                <w:bCs/>
              </w:rPr>
              <w:t>Special Character Areas</w:t>
            </w:r>
          </w:p>
          <w:p w14:paraId="378D6AAC" w14:textId="77777777" w:rsidR="00C101E8" w:rsidRDefault="00C101E8" w:rsidP="004B7390">
            <w:pPr>
              <w:pStyle w:val="ListParagraph"/>
              <w:numPr>
                <w:ilvl w:val="0"/>
                <w:numId w:val="4"/>
              </w:numPr>
              <w:ind w:left="373" w:hanging="284"/>
            </w:pPr>
            <w:r>
              <w:t>applies to areas identified as having special neighbourhood character in the Neighbourhood Character Study 2019</w:t>
            </w:r>
          </w:p>
          <w:p w14:paraId="5337FEEA" w14:textId="77777777" w:rsidR="00C101E8" w:rsidRPr="00BA5AD8" w:rsidRDefault="00C101E8" w:rsidP="004B7390">
            <w:pPr>
              <w:pStyle w:val="ListParagraph"/>
              <w:numPr>
                <w:ilvl w:val="0"/>
                <w:numId w:val="4"/>
              </w:numPr>
              <w:ind w:left="373" w:hanging="284"/>
            </w:pPr>
            <w:r w:rsidRPr="00BA5AD8">
              <w:t xml:space="preserve">applies to areas that are </w:t>
            </w:r>
            <w:r w:rsidRPr="004B7390">
              <w:t>not</w:t>
            </w:r>
            <w:r w:rsidRPr="00BA5AD8">
              <w:t xml:space="preserve"> affected by the current GRZ2, so does not include the single dwelling permit trigger</w:t>
            </w:r>
          </w:p>
          <w:p w14:paraId="6C0C5C5C" w14:textId="07952340" w:rsidR="00C101E8" w:rsidRDefault="00C101E8" w:rsidP="004B7390">
            <w:pPr>
              <w:pStyle w:val="ListParagraph"/>
              <w:numPr>
                <w:ilvl w:val="0"/>
                <w:numId w:val="4"/>
              </w:numPr>
              <w:ind w:left="373" w:hanging="284"/>
            </w:pPr>
            <w:r>
              <w:t>neighbourhood character objectives derived from the Neighbourhood Character Study 2019</w:t>
            </w:r>
          </w:p>
          <w:p w14:paraId="00C7D572" w14:textId="07077B9C" w:rsidR="00C101E8" w:rsidRDefault="00C101E8" w:rsidP="004B7390">
            <w:pPr>
              <w:pStyle w:val="ListParagraph"/>
              <w:numPr>
                <w:ilvl w:val="0"/>
                <w:numId w:val="4"/>
              </w:numPr>
              <w:ind w:left="373" w:hanging="284"/>
            </w:pPr>
            <w:r>
              <w:t>no variations to Clause 54 or 55, defers to the NCO for detailed neighbourhood character guidance</w:t>
            </w:r>
          </w:p>
        </w:tc>
        <w:tc>
          <w:tcPr>
            <w:tcW w:w="6298" w:type="dxa"/>
          </w:tcPr>
          <w:p w14:paraId="6EAE3CE9" w14:textId="77777777" w:rsidR="002A10E4" w:rsidRDefault="002A10E4" w:rsidP="000E167F"/>
          <w:p w14:paraId="52D9BE28" w14:textId="1D973517" w:rsidR="00C101E8" w:rsidRDefault="00716445" w:rsidP="000E167F">
            <w:r>
              <w:t>Maps</w:t>
            </w:r>
            <w:r w:rsidR="00C101E8">
              <w:t>:</w:t>
            </w:r>
            <w:r w:rsidR="007810B9">
              <w:t xml:space="preserve"> 2, 3, 10</w:t>
            </w:r>
          </w:p>
          <w:p w14:paraId="5EBC4EB5" w14:textId="23F14CD3" w:rsidR="00C101E8" w:rsidRDefault="00C101E8" w:rsidP="000E167F">
            <w:r>
              <w:t>Applies in Altona North</w:t>
            </w:r>
            <w:r w:rsidR="003D4985">
              <w:t xml:space="preserve"> and Williamstown North</w:t>
            </w:r>
            <w:r w:rsidR="00D20198">
              <w:t>.</w:t>
            </w:r>
          </w:p>
        </w:tc>
      </w:tr>
      <w:tr w:rsidR="002A10E4" w14:paraId="45590ED5" w14:textId="79246E3C" w:rsidTr="00637DC7">
        <w:tc>
          <w:tcPr>
            <w:tcW w:w="1129" w:type="dxa"/>
          </w:tcPr>
          <w:p w14:paraId="349833D2" w14:textId="562BE993" w:rsidR="002A10E4" w:rsidRPr="005436CF" w:rsidRDefault="002A10E4" w:rsidP="000E167F">
            <w:pPr>
              <w:rPr>
                <w:b/>
                <w:bCs/>
              </w:rPr>
            </w:pPr>
            <w:r>
              <w:rPr>
                <w:b/>
                <w:bCs/>
              </w:rPr>
              <w:t>NRZ2</w:t>
            </w:r>
          </w:p>
        </w:tc>
        <w:tc>
          <w:tcPr>
            <w:tcW w:w="6521" w:type="dxa"/>
          </w:tcPr>
          <w:p w14:paraId="66284C43" w14:textId="77777777" w:rsidR="002A10E4" w:rsidRPr="00530888" w:rsidRDefault="00530888" w:rsidP="000E167F">
            <w:pPr>
              <w:rPr>
                <w:b/>
                <w:bCs/>
              </w:rPr>
            </w:pPr>
            <w:r w:rsidRPr="00530888">
              <w:rPr>
                <w:b/>
                <w:bCs/>
              </w:rPr>
              <w:t>Special Character Areas, Altona</w:t>
            </w:r>
          </w:p>
          <w:p w14:paraId="5116BE0B" w14:textId="77777777" w:rsidR="00530888" w:rsidRDefault="00530888" w:rsidP="004B7390">
            <w:pPr>
              <w:pStyle w:val="ListParagraph"/>
              <w:numPr>
                <w:ilvl w:val="0"/>
                <w:numId w:val="4"/>
              </w:numPr>
              <w:ind w:left="373" w:hanging="284"/>
            </w:pPr>
            <w:r>
              <w:t>applies to areas identified as having special neighbourhood character in the Neighbourhood Character Study 2019</w:t>
            </w:r>
          </w:p>
          <w:p w14:paraId="708580E3" w14:textId="6A16A925" w:rsidR="00530888" w:rsidRPr="00BA5AD8" w:rsidRDefault="00530888" w:rsidP="004B7390">
            <w:pPr>
              <w:pStyle w:val="ListParagraph"/>
              <w:numPr>
                <w:ilvl w:val="0"/>
                <w:numId w:val="4"/>
              </w:numPr>
              <w:ind w:left="373" w:hanging="284"/>
            </w:pPr>
            <w:r w:rsidRPr="00BA5AD8">
              <w:t>applies to areas affected by the current GRZ2, so include</w:t>
            </w:r>
            <w:r>
              <w:t>s</w:t>
            </w:r>
            <w:r w:rsidRPr="00BA5AD8">
              <w:t xml:space="preserve"> the single dwelling permit trigger</w:t>
            </w:r>
          </w:p>
          <w:p w14:paraId="73D132FC" w14:textId="77777777" w:rsidR="00530888" w:rsidRDefault="00530888" w:rsidP="004B7390">
            <w:pPr>
              <w:pStyle w:val="ListParagraph"/>
              <w:numPr>
                <w:ilvl w:val="0"/>
                <w:numId w:val="4"/>
              </w:numPr>
              <w:ind w:left="373" w:hanging="284"/>
            </w:pPr>
            <w:r>
              <w:lastRenderedPageBreak/>
              <w:t>neighbourhood character objectives derived from the Neighbourhood Character Study 2019</w:t>
            </w:r>
          </w:p>
          <w:p w14:paraId="4E08DED2" w14:textId="6ED4C688" w:rsidR="00530888" w:rsidRDefault="00530888" w:rsidP="004B7390">
            <w:pPr>
              <w:pStyle w:val="ListParagraph"/>
              <w:numPr>
                <w:ilvl w:val="0"/>
                <w:numId w:val="4"/>
              </w:numPr>
              <w:ind w:left="373" w:hanging="284"/>
            </w:pPr>
            <w:r>
              <w:t>no variations to Clause 54 or 55, defers to the NCO for detailed neighbourhood character guidance</w:t>
            </w:r>
          </w:p>
        </w:tc>
        <w:tc>
          <w:tcPr>
            <w:tcW w:w="6298" w:type="dxa"/>
          </w:tcPr>
          <w:p w14:paraId="4F055C42" w14:textId="77777777" w:rsidR="002A10E4" w:rsidRDefault="002A10E4" w:rsidP="000E167F"/>
          <w:p w14:paraId="47FF4E4E" w14:textId="3F02C3CF" w:rsidR="00530888" w:rsidRDefault="00716445" w:rsidP="000E167F">
            <w:r>
              <w:t>Maps</w:t>
            </w:r>
            <w:r w:rsidR="00530888">
              <w:t>: 14, 15, 16</w:t>
            </w:r>
          </w:p>
          <w:p w14:paraId="05A5F700" w14:textId="58A37C17" w:rsidR="00530888" w:rsidRDefault="00530888" w:rsidP="000E167F">
            <w:r>
              <w:t>Applies to areas in Altona, generally between Millers Road and Maidstone Street.</w:t>
            </w:r>
          </w:p>
        </w:tc>
      </w:tr>
      <w:tr w:rsidR="002A10E4" w14:paraId="1F691836" w14:textId="4B017093" w:rsidTr="00637DC7">
        <w:tc>
          <w:tcPr>
            <w:tcW w:w="1129" w:type="dxa"/>
          </w:tcPr>
          <w:p w14:paraId="2949C9AF" w14:textId="450D58EE" w:rsidR="002A10E4" w:rsidRPr="005436CF" w:rsidRDefault="002A10E4" w:rsidP="000E167F">
            <w:pPr>
              <w:rPr>
                <w:b/>
                <w:bCs/>
              </w:rPr>
            </w:pPr>
            <w:bookmarkStart w:id="0" w:name="_Hlk64462597"/>
            <w:r>
              <w:rPr>
                <w:b/>
                <w:bCs/>
              </w:rPr>
              <w:t>NRZ3</w:t>
            </w:r>
          </w:p>
        </w:tc>
        <w:tc>
          <w:tcPr>
            <w:tcW w:w="6521" w:type="dxa"/>
          </w:tcPr>
          <w:p w14:paraId="583CAF6A" w14:textId="77777777" w:rsidR="002A10E4" w:rsidRPr="00BB7ED7" w:rsidRDefault="00530888" w:rsidP="000E167F">
            <w:pPr>
              <w:rPr>
                <w:b/>
                <w:bCs/>
              </w:rPr>
            </w:pPr>
            <w:r w:rsidRPr="00BB7ED7">
              <w:rPr>
                <w:b/>
                <w:bCs/>
              </w:rPr>
              <w:t>Heritage Areas</w:t>
            </w:r>
          </w:p>
          <w:p w14:paraId="4C67BF92" w14:textId="77777777" w:rsidR="00530888" w:rsidRDefault="00530888" w:rsidP="004B7390">
            <w:pPr>
              <w:pStyle w:val="ListParagraph"/>
              <w:numPr>
                <w:ilvl w:val="0"/>
                <w:numId w:val="4"/>
              </w:numPr>
              <w:ind w:left="373" w:hanging="284"/>
            </w:pPr>
            <w:r>
              <w:t>applies to areas within a HO precinct</w:t>
            </w:r>
          </w:p>
          <w:p w14:paraId="2526EFDC" w14:textId="39C86F0F" w:rsidR="00530888" w:rsidRPr="00BA5AD8" w:rsidRDefault="00530888" w:rsidP="004B7390">
            <w:pPr>
              <w:pStyle w:val="ListParagraph"/>
              <w:numPr>
                <w:ilvl w:val="0"/>
                <w:numId w:val="4"/>
              </w:numPr>
              <w:ind w:left="373" w:hanging="284"/>
            </w:pPr>
            <w:r w:rsidRPr="00BA5AD8">
              <w:t xml:space="preserve">applies to areas that are </w:t>
            </w:r>
            <w:r w:rsidRPr="004B7390">
              <w:t>not</w:t>
            </w:r>
            <w:r w:rsidRPr="00BA5AD8">
              <w:t xml:space="preserve"> affected by the current GRZ2, so does not include the single dwelling permit trigger</w:t>
            </w:r>
          </w:p>
          <w:p w14:paraId="11B051CE" w14:textId="77777777" w:rsidR="00696DA6" w:rsidRDefault="00696DA6" w:rsidP="004B7390">
            <w:pPr>
              <w:pStyle w:val="ListParagraph"/>
              <w:numPr>
                <w:ilvl w:val="0"/>
                <w:numId w:val="4"/>
              </w:numPr>
              <w:ind w:left="373" w:hanging="284"/>
            </w:pPr>
            <w:r>
              <w:t xml:space="preserve">includes local </w:t>
            </w:r>
            <w:r w:rsidR="00530888">
              <w:t xml:space="preserve">variations to </w:t>
            </w:r>
            <w:r>
              <w:t>landscaping and private open space</w:t>
            </w:r>
          </w:p>
          <w:p w14:paraId="0ECB1173" w14:textId="7933FF55" w:rsidR="00530888" w:rsidRDefault="00530888" w:rsidP="004B7390">
            <w:pPr>
              <w:pStyle w:val="ListParagraph"/>
              <w:numPr>
                <w:ilvl w:val="0"/>
                <w:numId w:val="4"/>
              </w:numPr>
              <w:ind w:left="373" w:hanging="284"/>
            </w:pPr>
            <w:r>
              <w:t xml:space="preserve">defers to the HO for </w:t>
            </w:r>
            <w:r w:rsidR="00696DA6">
              <w:t xml:space="preserve">detailed </w:t>
            </w:r>
            <w:r>
              <w:t>neighbourhood character guidance</w:t>
            </w:r>
            <w:r w:rsidR="002C05AD">
              <w:br/>
            </w:r>
          </w:p>
        </w:tc>
        <w:tc>
          <w:tcPr>
            <w:tcW w:w="6298" w:type="dxa"/>
          </w:tcPr>
          <w:p w14:paraId="06298C0F" w14:textId="77777777" w:rsidR="002A10E4" w:rsidRDefault="002A10E4" w:rsidP="000E167F"/>
          <w:p w14:paraId="1BC229A5" w14:textId="7D12311D" w:rsidR="006059B2" w:rsidRDefault="00716445" w:rsidP="000E167F">
            <w:r>
              <w:t>Maps</w:t>
            </w:r>
            <w:r w:rsidR="006059B2">
              <w:t>: 5, 11,</w:t>
            </w:r>
          </w:p>
          <w:p w14:paraId="11488C60" w14:textId="72676A00" w:rsidR="006059B2" w:rsidRDefault="006059B2" w:rsidP="000E167F">
            <w:r>
              <w:t xml:space="preserve">Applies to areas in Spotswood, </w:t>
            </w:r>
            <w:r w:rsidR="007810B9">
              <w:t xml:space="preserve">Newport, and </w:t>
            </w:r>
            <w:r>
              <w:t>Williamstown North</w:t>
            </w:r>
            <w:r w:rsidR="007810B9">
              <w:t>.</w:t>
            </w:r>
          </w:p>
        </w:tc>
      </w:tr>
      <w:bookmarkEnd w:id="0"/>
      <w:tr w:rsidR="00BB7ED7" w14:paraId="1206BC3C" w14:textId="273DF19A" w:rsidTr="00637DC7">
        <w:tc>
          <w:tcPr>
            <w:tcW w:w="1129" w:type="dxa"/>
          </w:tcPr>
          <w:p w14:paraId="34C7A5EC" w14:textId="6FB6F4CA" w:rsidR="00BB7ED7" w:rsidRPr="005436CF" w:rsidRDefault="00BB7ED7" w:rsidP="00BB7ED7">
            <w:pPr>
              <w:rPr>
                <w:b/>
                <w:bCs/>
              </w:rPr>
            </w:pPr>
            <w:r>
              <w:rPr>
                <w:b/>
                <w:bCs/>
              </w:rPr>
              <w:t>NRZ4</w:t>
            </w:r>
          </w:p>
        </w:tc>
        <w:tc>
          <w:tcPr>
            <w:tcW w:w="6521" w:type="dxa"/>
          </w:tcPr>
          <w:p w14:paraId="3CB1AD95" w14:textId="04480C36" w:rsidR="00BB7ED7" w:rsidRPr="00BB7ED7" w:rsidRDefault="00BB7ED7" w:rsidP="00BB7ED7">
            <w:pPr>
              <w:rPr>
                <w:b/>
                <w:bCs/>
              </w:rPr>
            </w:pPr>
            <w:r w:rsidRPr="00BB7ED7">
              <w:rPr>
                <w:b/>
                <w:bCs/>
              </w:rPr>
              <w:t>Heritage Areas</w:t>
            </w:r>
            <w:r>
              <w:rPr>
                <w:b/>
                <w:bCs/>
              </w:rPr>
              <w:t>, Altona and Williamstown</w:t>
            </w:r>
          </w:p>
          <w:p w14:paraId="075CEEEB" w14:textId="77777777" w:rsidR="00BB7ED7" w:rsidRDefault="00BB7ED7" w:rsidP="004B7390">
            <w:pPr>
              <w:pStyle w:val="ListParagraph"/>
              <w:numPr>
                <w:ilvl w:val="0"/>
                <w:numId w:val="4"/>
              </w:numPr>
              <w:ind w:left="373" w:hanging="284"/>
            </w:pPr>
            <w:r>
              <w:t>applies to areas within a HO precinct</w:t>
            </w:r>
          </w:p>
          <w:p w14:paraId="13467348" w14:textId="45473635" w:rsidR="00BB7ED7" w:rsidRPr="00BA5AD8" w:rsidRDefault="00BB7ED7" w:rsidP="004B7390">
            <w:pPr>
              <w:pStyle w:val="ListParagraph"/>
              <w:numPr>
                <w:ilvl w:val="0"/>
                <w:numId w:val="4"/>
              </w:numPr>
              <w:ind w:left="373" w:hanging="284"/>
            </w:pPr>
            <w:r w:rsidRPr="00BA5AD8">
              <w:t>applies to areas affected by the current GRZ2, so include</w:t>
            </w:r>
            <w:r w:rsidR="00AE0F7C">
              <w:t>s</w:t>
            </w:r>
            <w:r w:rsidRPr="00BA5AD8">
              <w:t xml:space="preserve"> the single dwelling permit trigger</w:t>
            </w:r>
          </w:p>
          <w:p w14:paraId="10C156B1" w14:textId="0EC6A705" w:rsidR="00BB7ED7" w:rsidRDefault="00BB7ED7" w:rsidP="004B7390">
            <w:pPr>
              <w:pStyle w:val="ListParagraph"/>
              <w:numPr>
                <w:ilvl w:val="0"/>
                <w:numId w:val="4"/>
              </w:numPr>
              <w:ind w:left="373" w:hanging="284"/>
            </w:pPr>
            <w:r>
              <w:t>includes local variations to landscaping</w:t>
            </w:r>
            <w:r w:rsidR="00AE0F7C">
              <w:t xml:space="preserve">, </w:t>
            </w:r>
            <w:r>
              <w:t>private open space</w:t>
            </w:r>
            <w:r w:rsidR="00AE0F7C">
              <w:t>, and front fences</w:t>
            </w:r>
          </w:p>
          <w:p w14:paraId="6A3518D6" w14:textId="64278D5B" w:rsidR="00BB7ED7" w:rsidRDefault="00BB7ED7" w:rsidP="004B7390">
            <w:pPr>
              <w:pStyle w:val="ListParagraph"/>
              <w:numPr>
                <w:ilvl w:val="0"/>
                <w:numId w:val="4"/>
              </w:numPr>
              <w:ind w:left="373" w:hanging="284"/>
            </w:pPr>
            <w:r>
              <w:t>defers to the HO for detailed neighbourhood character guidance</w:t>
            </w:r>
          </w:p>
        </w:tc>
        <w:tc>
          <w:tcPr>
            <w:tcW w:w="6298" w:type="dxa"/>
          </w:tcPr>
          <w:p w14:paraId="1419BF96" w14:textId="77777777" w:rsidR="00BB7ED7" w:rsidRDefault="00BB7ED7" w:rsidP="00BB7ED7"/>
          <w:p w14:paraId="6E64C6E4" w14:textId="31103708" w:rsidR="00AE0F7C" w:rsidRDefault="00716445" w:rsidP="00BB7ED7">
            <w:r>
              <w:t>Maps</w:t>
            </w:r>
            <w:r w:rsidR="00AE0F7C">
              <w:t>: 11, 18, 19</w:t>
            </w:r>
          </w:p>
          <w:p w14:paraId="0E6A79AA" w14:textId="7DC4331C" w:rsidR="00AE0F7C" w:rsidRDefault="00AE0F7C" w:rsidP="00BB7ED7">
            <w:r>
              <w:t>Applies to areas in Newport and Williamstown.</w:t>
            </w:r>
          </w:p>
        </w:tc>
      </w:tr>
      <w:tr w:rsidR="009647FF" w14:paraId="7D54CE29" w14:textId="25CA24A2" w:rsidTr="00637DC7">
        <w:tc>
          <w:tcPr>
            <w:tcW w:w="1129" w:type="dxa"/>
          </w:tcPr>
          <w:p w14:paraId="6CFCE838" w14:textId="142EE18A" w:rsidR="009647FF" w:rsidRPr="005436CF" w:rsidRDefault="009647FF" w:rsidP="009647FF">
            <w:pPr>
              <w:rPr>
                <w:b/>
                <w:bCs/>
              </w:rPr>
            </w:pPr>
            <w:r>
              <w:rPr>
                <w:b/>
                <w:bCs/>
              </w:rPr>
              <w:t>NRZ5</w:t>
            </w:r>
          </w:p>
        </w:tc>
        <w:tc>
          <w:tcPr>
            <w:tcW w:w="6521" w:type="dxa"/>
          </w:tcPr>
          <w:p w14:paraId="36B28837" w14:textId="178B9719" w:rsidR="009647FF" w:rsidRPr="00BB7ED7" w:rsidRDefault="009647FF" w:rsidP="009647FF">
            <w:pPr>
              <w:rPr>
                <w:b/>
                <w:bCs/>
              </w:rPr>
            </w:pPr>
            <w:r>
              <w:rPr>
                <w:b/>
                <w:bCs/>
              </w:rPr>
              <w:t>Garden Suburban and Garden Court</w:t>
            </w:r>
            <w:r w:rsidRPr="00BB7ED7">
              <w:rPr>
                <w:b/>
                <w:bCs/>
              </w:rPr>
              <w:t xml:space="preserve"> Areas</w:t>
            </w:r>
          </w:p>
          <w:p w14:paraId="4CC5E219" w14:textId="77777777" w:rsidR="009647FF" w:rsidRPr="00BA5AD8" w:rsidRDefault="009647FF" w:rsidP="004B7390">
            <w:pPr>
              <w:pStyle w:val="ListParagraph"/>
              <w:numPr>
                <w:ilvl w:val="0"/>
                <w:numId w:val="4"/>
              </w:numPr>
              <w:ind w:left="373" w:hanging="284"/>
            </w:pPr>
            <w:r w:rsidRPr="00BA5AD8">
              <w:t xml:space="preserve">applies to areas that are </w:t>
            </w:r>
            <w:r w:rsidRPr="004B7390">
              <w:t>not</w:t>
            </w:r>
            <w:r w:rsidRPr="00BA5AD8">
              <w:t xml:space="preserve"> affected by the current GRZ2, so does not include the single dwelling permit trigger</w:t>
            </w:r>
          </w:p>
          <w:p w14:paraId="3D6596BE" w14:textId="40397CAB" w:rsidR="009647FF" w:rsidRDefault="002C05AD" w:rsidP="004B7390">
            <w:pPr>
              <w:pStyle w:val="ListParagraph"/>
              <w:numPr>
                <w:ilvl w:val="0"/>
                <w:numId w:val="4"/>
              </w:numPr>
              <w:ind w:left="373" w:hanging="284"/>
            </w:pPr>
            <w:r w:rsidRPr="00BA5AD8">
              <w:t xml:space="preserve">includes neighbourhood character objectives and </w:t>
            </w:r>
            <w:r w:rsidR="009647FF">
              <w:t>local variations to landscaping, rear setbacks, private open space, and front fences</w:t>
            </w:r>
          </w:p>
        </w:tc>
        <w:tc>
          <w:tcPr>
            <w:tcW w:w="6298" w:type="dxa"/>
          </w:tcPr>
          <w:p w14:paraId="2E766EF2" w14:textId="77777777" w:rsidR="009647FF" w:rsidRDefault="009647FF" w:rsidP="009647FF"/>
          <w:p w14:paraId="78DD28FF" w14:textId="0CF49577" w:rsidR="009647FF" w:rsidRDefault="00716445" w:rsidP="009647FF">
            <w:r>
              <w:t>Maps</w:t>
            </w:r>
            <w:r w:rsidR="009647FF">
              <w:t>:</w:t>
            </w:r>
            <w:r w:rsidR="00E400CD">
              <w:t xml:space="preserve"> 3, 4, 6, 9, 10, 12, 13, 18, 20, 21, 22</w:t>
            </w:r>
          </w:p>
          <w:p w14:paraId="56EC2554" w14:textId="12DC6460" w:rsidR="009647FF" w:rsidRDefault="009647FF" w:rsidP="009647FF">
            <w:r>
              <w:t xml:space="preserve">Applies to </w:t>
            </w:r>
            <w:r w:rsidR="00E400CD">
              <w:t>areas in Altona North, Altona Meadows, Laverton, South Kingsville, Newport, Seabrook, Williamstown</w:t>
            </w:r>
            <w:r w:rsidR="00DE412D">
              <w:t>.</w:t>
            </w:r>
          </w:p>
        </w:tc>
      </w:tr>
      <w:tr w:rsidR="009647FF" w14:paraId="704CCD83" w14:textId="3C60F67C" w:rsidTr="00637DC7">
        <w:tc>
          <w:tcPr>
            <w:tcW w:w="1129" w:type="dxa"/>
          </w:tcPr>
          <w:p w14:paraId="7E6D2F1C" w14:textId="10A88A8D" w:rsidR="009647FF" w:rsidRPr="005436CF" w:rsidRDefault="009647FF" w:rsidP="009647FF">
            <w:pPr>
              <w:rPr>
                <w:b/>
                <w:bCs/>
              </w:rPr>
            </w:pPr>
            <w:r>
              <w:rPr>
                <w:b/>
                <w:bCs/>
              </w:rPr>
              <w:t>NRZ6</w:t>
            </w:r>
          </w:p>
        </w:tc>
        <w:tc>
          <w:tcPr>
            <w:tcW w:w="6521" w:type="dxa"/>
          </w:tcPr>
          <w:p w14:paraId="1A5C2BEF" w14:textId="05E71037" w:rsidR="00D12121" w:rsidRPr="00BB7ED7" w:rsidRDefault="00D12121" w:rsidP="00D12121">
            <w:pPr>
              <w:rPr>
                <w:b/>
                <w:bCs/>
              </w:rPr>
            </w:pPr>
            <w:r>
              <w:rPr>
                <w:b/>
                <w:bCs/>
              </w:rPr>
              <w:t>Garden Suburban and Garden Court</w:t>
            </w:r>
            <w:r w:rsidRPr="00BB7ED7">
              <w:rPr>
                <w:b/>
                <w:bCs/>
              </w:rPr>
              <w:t xml:space="preserve"> Areas</w:t>
            </w:r>
            <w:r>
              <w:rPr>
                <w:b/>
                <w:bCs/>
              </w:rPr>
              <w:t>, Altona and Williamstown</w:t>
            </w:r>
          </w:p>
          <w:p w14:paraId="5D0E3C1A" w14:textId="50331E7C" w:rsidR="00D12121" w:rsidRPr="00BA5AD8" w:rsidRDefault="00D12121" w:rsidP="004B7390">
            <w:pPr>
              <w:pStyle w:val="ListParagraph"/>
              <w:numPr>
                <w:ilvl w:val="0"/>
                <w:numId w:val="4"/>
              </w:numPr>
              <w:ind w:left="373" w:hanging="284"/>
            </w:pPr>
            <w:r w:rsidRPr="00D12121">
              <w:t>applies to areas affected by the current GRZ2, so includes the single dwelling permit trigger</w:t>
            </w:r>
          </w:p>
          <w:p w14:paraId="062487D7" w14:textId="737C0E0D" w:rsidR="00D12121" w:rsidRDefault="00D12121" w:rsidP="004B7390">
            <w:pPr>
              <w:pStyle w:val="ListParagraph"/>
              <w:numPr>
                <w:ilvl w:val="0"/>
                <w:numId w:val="4"/>
              </w:numPr>
              <w:ind w:left="373" w:hanging="284"/>
            </w:pPr>
            <w:r>
              <w:t>includes</w:t>
            </w:r>
            <w:r w:rsidR="002C05AD">
              <w:t xml:space="preserve"> neighbourhood character objectives and</w:t>
            </w:r>
            <w:r>
              <w:t xml:space="preserve"> local variations to landscaping, rear setbacks, private open space, and front fences</w:t>
            </w:r>
          </w:p>
          <w:p w14:paraId="3DB55363" w14:textId="5AD74E66" w:rsidR="009647FF" w:rsidRDefault="002C05AD" w:rsidP="009647FF">
            <w:r>
              <w:br/>
            </w:r>
          </w:p>
        </w:tc>
        <w:tc>
          <w:tcPr>
            <w:tcW w:w="6298" w:type="dxa"/>
          </w:tcPr>
          <w:p w14:paraId="38642C8F" w14:textId="77777777" w:rsidR="009647FF" w:rsidRDefault="009647FF" w:rsidP="009647FF"/>
          <w:p w14:paraId="6FB035D2" w14:textId="696794AB" w:rsidR="00D12121" w:rsidRDefault="00716445" w:rsidP="009647FF">
            <w:r>
              <w:t>Maps</w:t>
            </w:r>
            <w:r w:rsidR="00D12121">
              <w:t>:</w:t>
            </w:r>
            <w:r w:rsidR="00FB6B9C">
              <w:t xml:space="preserve"> 8, 14, 15, 16, 18</w:t>
            </w:r>
          </w:p>
          <w:p w14:paraId="6EDCCD42" w14:textId="2C037597" w:rsidR="00D12121" w:rsidRDefault="00D12121" w:rsidP="009647FF">
            <w:r>
              <w:t>Applies to areas</w:t>
            </w:r>
            <w:r w:rsidR="00FB6B9C">
              <w:t xml:space="preserve"> in Altona and Williamstown</w:t>
            </w:r>
            <w:r w:rsidR="00DE412D">
              <w:t>.</w:t>
            </w:r>
          </w:p>
        </w:tc>
      </w:tr>
      <w:tr w:rsidR="009647FF" w14:paraId="77E23578" w14:textId="27BB517E" w:rsidTr="00637DC7">
        <w:tc>
          <w:tcPr>
            <w:tcW w:w="1129" w:type="dxa"/>
          </w:tcPr>
          <w:p w14:paraId="3D96B6D2" w14:textId="4DBCC7F9" w:rsidR="009647FF" w:rsidRPr="005436CF" w:rsidRDefault="009647FF" w:rsidP="009647FF">
            <w:pPr>
              <w:rPr>
                <w:b/>
                <w:bCs/>
              </w:rPr>
            </w:pPr>
            <w:r>
              <w:rPr>
                <w:b/>
                <w:bCs/>
              </w:rPr>
              <w:t>NRZ7</w:t>
            </w:r>
          </w:p>
        </w:tc>
        <w:tc>
          <w:tcPr>
            <w:tcW w:w="6521" w:type="dxa"/>
          </w:tcPr>
          <w:p w14:paraId="3219BFC3" w14:textId="22BF76EC" w:rsidR="005D7B7C" w:rsidRPr="00BB7ED7" w:rsidRDefault="005D7B7C" w:rsidP="005D7B7C">
            <w:pPr>
              <w:rPr>
                <w:b/>
                <w:bCs/>
              </w:rPr>
            </w:pPr>
            <w:r>
              <w:rPr>
                <w:b/>
                <w:bCs/>
              </w:rPr>
              <w:t>Inner Suburban Areas, Spotswood</w:t>
            </w:r>
          </w:p>
          <w:p w14:paraId="20DE6905" w14:textId="77777777" w:rsidR="005D7B7C" w:rsidRPr="00BA5AD8" w:rsidRDefault="005D7B7C" w:rsidP="004B7390">
            <w:pPr>
              <w:pStyle w:val="ListParagraph"/>
              <w:numPr>
                <w:ilvl w:val="0"/>
                <w:numId w:val="4"/>
              </w:numPr>
              <w:ind w:left="373" w:hanging="284"/>
            </w:pPr>
            <w:r w:rsidRPr="00BA5AD8">
              <w:lastRenderedPageBreak/>
              <w:t xml:space="preserve">applies to areas that are </w:t>
            </w:r>
            <w:r w:rsidRPr="004B7390">
              <w:t>not</w:t>
            </w:r>
            <w:r w:rsidRPr="00BA5AD8">
              <w:t xml:space="preserve"> affected by the current GRZ2, so does not include the single dwelling permit trigger</w:t>
            </w:r>
          </w:p>
          <w:p w14:paraId="0F6F9BBE" w14:textId="03297A22" w:rsidR="005D7B7C" w:rsidRDefault="005D7B7C" w:rsidP="004B7390">
            <w:pPr>
              <w:pStyle w:val="ListParagraph"/>
              <w:numPr>
                <w:ilvl w:val="0"/>
                <w:numId w:val="4"/>
              </w:numPr>
              <w:ind w:left="373" w:hanging="284"/>
            </w:pPr>
            <w:r>
              <w:t xml:space="preserve">includes </w:t>
            </w:r>
            <w:r w:rsidR="002C05AD">
              <w:t xml:space="preserve">neighbourhood character objectives and </w:t>
            </w:r>
            <w:r>
              <w:t>local variations to landscaping, private open space, and front fences</w:t>
            </w:r>
          </w:p>
          <w:p w14:paraId="59F06F14" w14:textId="77777777" w:rsidR="009647FF" w:rsidRDefault="009647FF" w:rsidP="009647FF"/>
        </w:tc>
        <w:tc>
          <w:tcPr>
            <w:tcW w:w="6298" w:type="dxa"/>
          </w:tcPr>
          <w:p w14:paraId="522FB5A0" w14:textId="77777777" w:rsidR="009647FF" w:rsidRDefault="009647FF" w:rsidP="009647FF"/>
          <w:p w14:paraId="122B4454" w14:textId="5A30B90E" w:rsidR="005D7B7C" w:rsidRDefault="00716445" w:rsidP="009647FF">
            <w:r>
              <w:lastRenderedPageBreak/>
              <w:t>Maps</w:t>
            </w:r>
            <w:r w:rsidR="005D7B7C">
              <w:t>: 4, 5</w:t>
            </w:r>
          </w:p>
          <w:p w14:paraId="583213A2" w14:textId="3307CD2D" w:rsidR="005D7B7C" w:rsidRDefault="005D7B7C" w:rsidP="009647FF">
            <w:r>
              <w:t>Applies to areas in Spotswood, north of Burleigh Street and Blackshaws Road.</w:t>
            </w:r>
          </w:p>
        </w:tc>
      </w:tr>
      <w:tr w:rsidR="009647FF" w14:paraId="24B79983" w14:textId="142804EC" w:rsidTr="00637DC7">
        <w:tc>
          <w:tcPr>
            <w:tcW w:w="1129" w:type="dxa"/>
          </w:tcPr>
          <w:p w14:paraId="1A943959" w14:textId="7F183987" w:rsidR="009647FF" w:rsidRPr="005436CF" w:rsidRDefault="009647FF" w:rsidP="009647FF">
            <w:pPr>
              <w:rPr>
                <w:b/>
                <w:bCs/>
              </w:rPr>
            </w:pPr>
            <w:r>
              <w:rPr>
                <w:b/>
                <w:bCs/>
              </w:rPr>
              <w:t>NRZ8</w:t>
            </w:r>
          </w:p>
        </w:tc>
        <w:tc>
          <w:tcPr>
            <w:tcW w:w="6521" w:type="dxa"/>
          </w:tcPr>
          <w:p w14:paraId="18909866" w14:textId="59C05D11" w:rsidR="005D7B7C" w:rsidRPr="00BB7ED7" w:rsidRDefault="005D7B7C" w:rsidP="005D7B7C">
            <w:pPr>
              <w:rPr>
                <w:b/>
                <w:bCs/>
              </w:rPr>
            </w:pPr>
            <w:r>
              <w:rPr>
                <w:b/>
                <w:bCs/>
              </w:rPr>
              <w:t>Waterfront Suburban Areas</w:t>
            </w:r>
          </w:p>
          <w:p w14:paraId="7E334337" w14:textId="6AC25E3F" w:rsidR="005D7B7C" w:rsidRPr="00BA5AD8" w:rsidRDefault="005D7B7C" w:rsidP="004B7390">
            <w:pPr>
              <w:pStyle w:val="ListParagraph"/>
              <w:numPr>
                <w:ilvl w:val="0"/>
                <w:numId w:val="4"/>
              </w:numPr>
              <w:ind w:left="373" w:hanging="284"/>
            </w:pPr>
            <w:r w:rsidRPr="00BA5AD8">
              <w:t xml:space="preserve">applies to areas </w:t>
            </w:r>
            <w:r>
              <w:t>affected by the current GRZ2, so includes the single dwelling permit trigger</w:t>
            </w:r>
          </w:p>
          <w:p w14:paraId="0FA67DBC" w14:textId="1B61BC9B" w:rsidR="005D7B7C" w:rsidRDefault="005D7B7C" w:rsidP="004B7390">
            <w:pPr>
              <w:pStyle w:val="ListParagraph"/>
              <w:numPr>
                <w:ilvl w:val="0"/>
                <w:numId w:val="4"/>
              </w:numPr>
              <w:ind w:left="373" w:hanging="284"/>
            </w:pPr>
            <w:r>
              <w:t xml:space="preserve">includes </w:t>
            </w:r>
            <w:r w:rsidR="002C05AD">
              <w:t xml:space="preserve">neighbourhood character objectives and </w:t>
            </w:r>
            <w:r>
              <w:t>local variations to landscaping, private open space, and front fences</w:t>
            </w:r>
          </w:p>
          <w:p w14:paraId="4368C0C2" w14:textId="77777777" w:rsidR="009647FF" w:rsidRDefault="009647FF" w:rsidP="009647FF"/>
        </w:tc>
        <w:tc>
          <w:tcPr>
            <w:tcW w:w="6298" w:type="dxa"/>
          </w:tcPr>
          <w:p w14:paraId="388F5B18" w14:textId="77777777" w:rsidR="009647FF" w:rsidRDefault="009647FF" w:rsidP="009647FF"/>
          <w:p w14:paraId="37B9F1F7" w14:textId="7B403426" w:rsidR="005D7B7C" w:rsidRDefault="00716445" w:rsidP="009647FF">
            <w:r>
              <w:t>Maps</w:t>
            </w:r>
            <w:r w:rsidR="005D7B7C">
              <w:t>:</w:t>
            </w:r>
            <w:r w:rsidR="002C05AD">
              <w:t xml:space="preserve"> 15, 16, 18</w:t>
            </w:r>
          </w:p>
          <w:p w14:paraId="5E5187C2" w14:textId="3C682EC2" w:rsidR="005D7B7C" w:rsidRDefault="005D7B7C" w:rsidP="009647FF">
            <w:r>
              <w:t>Applies to areas</w:t>
            </w:r>
            <w:r w:rsidR="002C05AD">
              <w:t xml:space="preserve"> in Altona and Williamstown.</w:t>
            </w:r>
          </w:p>
        </w:tc>
      </w:tr>
      <w:tr w:rsidR="009647FF" w14:paraId="71BC5E79" w14:textId="78D1F5E4" w:rsidTr="00637DC7">
        <w:tc>
          <w:tcPr>
            <w:tcW w:w="1129" w:type="dxa"/>
          </w:tcPr>
          <w:p w14:paraId="23533E4A" w14:textId="38C6BC55" w:rsidR="009647FF" w:rsidRPr="005436CF" w:rsidRDefault="009647FF" w:rsidP="009647FF">
            <w:pPr>
              <w:rPr>
                <w:b/>
                <w:bCs/>
              </w:rPr>
            </w:pPr>
            <w:r>
              <w:rPr>
                <w:b/>
                <w:bCs/>
              </w:rPr>
              <w:t>NRZ9</w:t>
            </w:r>
          </w:p>
        </w:tc>
        <w:tc>
          <w:tcPr>
            <w:tcW w:w="6521" w:type="dxa"/>
          </w:tcPr>
          <w:p w14:paraId="1CF3AB87" w14:textId="77777777" w:rsidR="009647FF" w:rsidRPr="002C05AD" w:rsidRDefault="002C05AD" w:rsidP="009647FF">
            <w:pPr>
              <w:rPr>
                <w:b/>
                <w:bCs/>
              </w:rPr>
            </w:pPr>
            <w:r w:rsidRPr="002C05AD">
              <w:rPr>
                <w:b/>
                <w:bCs/>
              </w:rPr>
              <w:t>Inner Suburban Areas, 21-23 Ann Street, Williamstown</w:t>
            </w:r>
          </w:p>
          <w:p w14:paraId="0212E67C" w14:textId="77777777" w:rsidR="002C05AD" w:rsidRPr="00BA5AD8" w:rsidRDefault="002C05AD" w:rsidP="004B7390">
            <w:pPr>
              <w:pStyle w:val="ListParagraph"/>
              <w:numPr>
                <w:ilvl w:val="0"/>
                <w:numId w:val="4"/>
              </w:numPr>
              <w:ind w:left="373" w:hanging="284"/>
            </w:pPr>
            <w:r w:rsidRPr="00BA5AD8">
              <w:t xml:space="preserve">applies to areas </w:t>
            </w:r>
            <w:r>
              <w:t>affected by the current GRZ2, so includes the single dwelling permit trigger</w:t>
            </w:r>
          </w:p>
          <w:p w14:paraId="2A20CC8F" w14:textId="4B736776" w:rsidR="002C05AD" w:rsidRDefault="002C05AD" w:rsidP="004B7390">
            <w:pPr>
              <w:pStyle w:val="ListParagraph"/>
              <w:numPr>
                <w:ilvl w:val="0"/>
                <w:numId w:val="4"/>
              </w:numPr>
              <w:ind w:left="373" w:hanging="284"/>
            </w:pPr>
            <w:r>
              <w:t>includes neighbourhood character objectives and local variations to landscaping, private open space, and front fences</w:t>
            </w:r>
          </w:p>
          <w:p w14:paraId="25550312" w14:textId="0F767055" w:rsidR="00D20198" w:rsidRDefault="00D20198" w:rsidP="004B7390">
            <w:pPr>
              <w:pStyle w:val="ListParagraph"/>
              <w:numPr>
                <w:ilvl w:val="0"/>
                <w:numId w:val="4"/>
              </w:numPr>
              <w:ind w:left="373" w:hanging="284"/>
            </w:pPr>
            <w:r>
              <w:t>variation to maximum building height to 10 metres and two storeys, consistent with DDO11</w:t>
            </w:r>
          </w:p>
          <w:p w14:paraId="4B896A35" w14:textId="78708728" w:rsidR="002C05AD" w:rsidRDefault="00E40C39" w:rsidP="009647FF">
            <w:r>
              <w:br/>
            </w:r>
          </w:p>
        </w:tc>
        <w:tc>
          <w:tcPr>
            <w:tcW w:w="6298" w:type="dxa"/>
          </w:tcPr>
          <w:p w14:paraId="5DA9201C" w14:textId="77777777" w:rsidR="009647FF" w:rsidRDefault="009647FF" w:rsidP="009647FF"/>
          <w:p w14:paraId="4F4294A8" w14:textId="2EA64156" w:rsidR="00D20198" w:rsidRDefault="00716445" w:rsidP="009647FF">
            <w:r>
              <w:t>Maps</w:t>
            </w:r>
            <w:r w:rsidR="00D20198">
              <w:t>: 19</w:t>
            </w:r>
          </w:p>
          <w:p w14:paraId="29D3128E" w14:textId="614CB2B9" w:rsidR="00D20198" w:rsidRDefault="00D20198" w:rsidP="009647FF">
            <w:r>
              <w:t>Applies to specific sites in Ann Street, Williamstown.</w:t>
            </w:r>
          </w:p>
        </w:tc>
      </w:tr>
      <w:tr w:rsidR="009647FF" w14:paraId="12E236ED" w14:textId="217BACA0" w:rsidTr="00637DC7">
        <w:tc>
          <w:tcPr>
            <w:tcW w:w="1129" w:type="dxa"/>
          </w:tcPr>
          <w:p w14:paraId="530BEBDA" w14:textId="718F1215" w:rsidR="009647FF" w:rsidRPr="005436CF" w:rsidRDefault="009647FF" w:rsidP="009647FF">
            <w:pPr>
              <w:rPr>
                <w:b/>
                <w:bCs/>
              </w:rPr>
            </w:pPr>
            <w:r>
              <w:rPr>
                <w:b/>
                <w:bCs/>
              </w:rPr>
              <w:t>NRZ10</w:t>
            </w:r>
          </w:p>
        </w:tc>
        <w:tc>
          <w:tcPr>
            <w:tcW w:w="6521" w:type="dxa"/>
          </w:tcPr>
          <w:p w14:paraId="794C19A7" w14:textId="2D080FA1" w:rsidR="00D20198" w:rsidRPr="00BB7ED7" w:rsidRDefault="00D20198" w:rsidP="00D20198">
            <w:pPr>
              <w:rPr>
                <w:b/>
                <w:bCs/>
              </w:rPr>
            </w:pPr>
            <w:r>
              <w:rPr>
                <w:b/>
                <w:bCs/>
              </w:rPr>
              <w:t>Urban Contemporary Areas, Newport</w:t>
            </w:r>
          </w:p>
          <w:p w14:paraId="77810996" w14:textId="77777777" w:rsidR="00D20198" w:rsidRPr="00BA5AD8" w:rsidRDefault="00D20198" w:rsidP="004B7390">
            <w:pPr>
              <w:pStyle w:val="ListParagraph"/>
              <w:numPr>
                <w:ilvl w:val="0"/>
                <w:numId w:val="4"/>
              </w:numPr>
              <w:ind w:left="373" w:hanging="284"/>
            </w:pPr>
            <w:r w:rsidRPr="00BA5AD8">
              <w:t xml:space="preserve">applies to areas that are </w:t>
            </w:r>
            <w:r w:rsidRPr="004B7390">
              <w:t>not</w:t>
            </w:r>
            <w:r w:rsidRPr="00BA5AD8">
              <w:t xml:space="preserve"> affected by the current GRZ2, so does not include the single dwelling permit trigger</w:t>
            </w:r>
          </w:p>
          <w:p w14:paraId="2C59AB51" w14:textId="77777777" w:rsidR="00D20198" w:rsidRDefault="00D20198" w:rsidP="004B7390">
            <w:pPr>
              <w:pStyle w:val="ListParagraph"/>
              <w:numPr>
                <w:ilvl w:val="0"/>
                <w:numId w:val="4"/>
              </w:numPr>
              <w:ind w:left="373" w:hanging="284"/>
            </w:pPr>
            <w:r>
              <w:t>includes neighbourhood character objectives and local variations to landscaping, private open space, and front fences</w:t>
            </w:r>
          </w:p>
          <w:p w14:paraId="0B63E8AF" w14:textId="77777777" w:rsidR="009647FF" w:rsidRDefault="009647FF" w:rsidP="009647FF"/>
        </w:tc>
        <w:tc>
          <w:tcPr>
            <w:tcW w:w="6298" w:type="dxa"/>
          </w:tcPr>
          <w:p w14:paraId="73D183C5" w14:textId="77777777" w:rsidR="009647FF" w:rsidRDefault="009647FF" w:rsidP="009647FF"/>
          <w:p w14:paraId="36EE238A" w14:textId="1F1DF5EC" w:rsidR="00D20198" w:rsidRDefault="00716445" w:rsidP="009647FF">
            <w:r>
              <w:t>Maps</w:t>
            </w:r>
            <w:r w:rsidR="00D20198">
              <w:t>: 11</w:t>
            </w:r>
          </w:p>
          <w:p w14:paraId="209A4434" w14:textId="5922B7C8" w:rsidR="00D20198" w:rsidRDefault="00D20198" w:rsidP="009647FF">
            <w:r>
              <w:t>Applies to the area between Melbourne Road and John Liston Lane, Newport.</w:t>
            </w:r>
          </w:p>
        </w:tc>
      </w:tr>
    </w:tbl>
    <w:p w14:paraId="49089E00" w14:textId="77777777" w:rsidR="00636EAC" w:rsidRPr="002405DE" w:rsidRDefault="00636EAC" w:rsidP="00064864">
      <w:pPr>
        <w:spacing w:line="360" w:lineRule="auto"/>
      </w:pPr>
    </w:p>
    <w:sectPr w:rsidR="00636EAC" w:rsidRPr="002405DE" w:rsidSect="002A10E4">
      <w:footerReference w:type="default" r:id="rId8"/>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DAD401" w14:textId="77777777" w:rsidR="00270151" w:rsidRDefault="00270151" w:rsidP="00D27453">
      <w:pPr>
        <w:spacing w:after="0" w:line="240" w:lineRule="auto"/>
      </w:pPr>
      <w:r>
        <w:separator/>
      </w:r>
    </w:p>
  </w:endnote>
  <w:endnote w:type="continuationSeparator" w:id="0">
    <w:p w14:paraId="156B496A" w14:textId="77777777" w:rsidR="00270151" w:rsidRDefault="00270151" w:rsidP="00D27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8033124"/>
      <w:docPartObj>
        <w:docPartGallery w:val="Page Numbers (Bottom of Page)"/>
        <w:docPartUnique/>
      </w:docPartObj>
    </w:sdtPr>
    <w:sdtEndPr>
      <w:rPr>
        <w:noProof/>
      </w:rPr>
    </w:sdtEndPr>
    <w:sdtContent>
      <w:p w14:paraId="1DD55E8B" w14:textId="77777777" w:rsidR="005A2485" w:rsidRDefault="005A248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98AE0D" w14:textId="77777777" w:rsidR="005A2485" w:rsidRDefault="005A24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01334D" w14:textId="77777777" w:rsidR="00270151" w:rsidRDefault="00270151" w:rsidP="00D27453">
      <w:pPr>
        <w:spacing w:after="0" w:line="240" w:lineRule="auto"/>
      </w:pPr>
      <w:r>
        <w:separator/>
      </w:r>
    </w:p>
  </w:footnote>
  <w:footnote w:type="continuationSeparator" w:id="0">
    <w:p w14:paraId="0B0210E4" w14:textId="77777777" w:rsidR="00270151" w:rsidRDefault="00270151" w:rsidP="00D274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8CB9D2A"/>
    <w:multiLevelType w:val="hybridMultilevel"/>
    <w:tmpl w:val="943D2B2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5C9066A"/>
    <w:multiLevelType w:val="hybridMultilevel"/>
    <w:tmpl w:val="996E03B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F61DB2"/>
    <w:multiLevelType w:val="hybridMultilevel"/>
    <w:tmpl w:val="C0B6C16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49500B"/>
    <w:multiLevelType w:val="multilevel"/>
    <w:tmpl w:val="1D0826D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6D24FB"/>
    <w:multiLevelType w:val="hybridMultilevel"/>
    <w:tmpl w:val="878B91C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AA162AE"/>
    <w:multiLevelType w:val="hybridMultilevel"/>
    <w:tmpl w:val="914A426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0EB90EBC"/>
    <w:multiLevelType w:val="hybridMultilevel"/>
    <w:tmpl w:val="BD18EEFC"/>
    <w:lvl w:ilvl="0" w:tplc="ECB20EE8">
      <w:start w:val="1"/>
      <w:numFmt w:val="lowerLetter"/>
      <w:lvlText w:val="%1)"/>
      <w:lvlJc w:val="left"/>
      <w:pPr>
        <w:ind w:left="1920" w:hanging="360"/>
      </w:pPr>
      <w:rPr>
        <w:rFonts w:hint="default"/>
      </w:rPr>
    </w:lvl>
    <w:lvl w:ilvl="1" w:tplc="0C090001">
      <w:start w:val="1"/>
      <w:numFmt w:val="bullet"/>
      <w:lvlText w:val=""/>
      <w:lvlJc w:val="left"/>
      <w:pPr>
        <w:ind w:left="2640" w:hanging="360"/>
      </w:pPr>
      <w:rPr>
        <w:rFonts w:ascii="Symbol" w:hAnsi="Symbol" w:hint="default"/>
      </w:rPr>
    </w:lvl>
    <w:lvl w:ilvl="2" w:tplc="0C09001B" w:tentative="1">
      <w:start w:val="1"/>
      <w:numFmt w:val="lowerRoman"/>
      <w:lvlText w:val="%3."/>
      <w:lvlJc w:val="right"/>
      <w:pPr>
        <w:ind w:left="3360" w:hanging="180"/>
      </w:pPr>
    </w:lvl>
    <w:lvl w:ilvl="3" w:tplc="0C09000F" w:tentative="1">
      <w:start w:val="1"/>
      <w:numFmt w:val="decimal"/>
      <w:lvlText w:val="%4."/>
      <w:lvlJc w:val="left"/>
      <w:pPr>
        <w:ind w:left="4080" w:hanging="360"/>
      </w:pPr>
    </w:lvl>
    <w:lvl w:ilvl="4" w:tplc="0C090019" w:tentative="1">
      <w:start w:val="1"/>
      <w:numFmt w:val="lowerLetter"/>
      <w:lvlText w:val="%5."/>
      <w:lvlJc w:val="left"/>
      <w:pPr>
        <w:ind w:left="4800" w:hanging="360"/>
      </w:pPr>
    </w:lvl>
    <w:lvl w:ilvl="5" w:tplc="0C09001B" w:tentative="1">
      <w:start w:val="1"/>
      <w:numFmt w:val="lowerRoman"/>
      <w:lvlText w:val="%6."/>
      <w:lvlJc w:val="right"/>
      <w:pPr>
        <w:ind w:left="5520" w:hanging="180"/>
      </w:pPr>
    </w:lvl>
    <w:lvl w:ilvl="6" w:tplc="0C09000F" w:tentative="1">
      <w:start w:val="1"/>
      <w:numFmt w:val="decimal"/>
      <w:lvlText w:val="%7."/>
      <w:lvlJc w:val="left"/>
      <w:pPr>
        <w:ind w:left="6240" w:hanging="360"/>
      </w:pPr>
    </w:lvl>
    <w:lvl w:ilvl="7" w:tplc="0C090019" w:tentative="1">
      <w:start w:val="1"/>
      <w:numFmt w:val="lowerLetter"/>
      <w:lvlText w:val="%8."/>
      <w:lvlJc w:val="left"/>
      <w:pPr>
        <w:ind w:left="6960" w:hanging="360"/>
      </w:pPr>
    </w:lvl>
    <w:lvl w:ilvl="8" w:tplc="0C09001B" w:tentative="1">
      <w:start w:val="1"/>
      <w:numFmt w:val="lowerRoman"/>
      <w:lvlText w:val="%9."/>
      <w:lvlJc w:val="right"/>
      <w:pPr>
        <w:ind w:left="7680" w:hanging="180"/>
      </w:pPr>
    </w:lvl>
  </w:abstractNum>
  <w:abstractNum w:abstractNumId="7" w15:restartNumberingAfterBreak="0">
    <w:nsid w:val="0F141FC0"/>
    <w:multiLevelType w:val="hybridMultilevel"/>
    <w:tmpl w:val="935A880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4442D26"/>
    <w:multiLevelType w:val="hybridMultilevel"/>
    <w:tmpl w:val="5554E8DE"/>
    <w:lvl w:ilvl="0" w:tplc="BE9A8F94">
      <w:numFmt w:val="bullet"/>
      <w:lvlText w:val="–"/>
      <w:lvlJc w:val="left"/>
      <w:pPr>
        <w:ind w:left="1080" w:hanging="360"/>
      </w:pPr>
      <w:rPr>
        <w:rFonts w:ascii="Times New Roman" w:eastAsia="Times New Roman" w:hAnsi="Times New Roman" w:cs="Times New Roman" w:hint="default"/>
        <w:spacing w:val="-1"/>
        <w:w w:val="100"/>
        <w:sz w:val="12"/>
        <w:szCs w:val="12"/>
      </w:rPr>
    </w:lvl>
    <w:lvl w:ilvl="1" w:tplc="0C090003">
      <w:start w:val="1"/>
      <w:numFmt w:val="bullet"/>
      <w:lvlText w:val="o"/>
      <w:lvlJc w:val="left"/>
      <w:pPr>
        <w:ind w:left="1800" w:hanging="360"/>
      </w:pPr>
      <w:rPr>
        <w:rFonts w:ascii="Courier New" w:hAnsi="Courier New" w:cs="Courier New" w:hint="default"/>
      </w:rPr>
    </w:lvl>
    <w:lvl w:ilvl="2" w:tplc="335A4D08">
      <w:numFmt w:val="bullet"/>
      <w:lvlText w:val="-"/>
      <w:lvlJc w:val="left"/>
      <w:pPr>
        <w:ind w:left="2520" w:hanging="360"/>
      </w:pPr>
      <w:rPr>
        <w:rFonts w:ascii="Calibri" w:eastAsiaTheme="minorHAnsi" w:hAnsi="Calibri" w:cs="Calibri"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1B3622CA"/>
    <w:multiLevelType w:val="multilevel"/>
    <w:tmpl w:val="892CFEBA"/>
    <w:lvl w:ilvl="0">
      <w:start w:val="1"/>
      <w:numFmt w:val="decimal"/>
      <w:lvlText w:val="%1."/>
      <w:lvlJc w:val="left"/>
      <w:pPr>
        <w:tabs>
          <w:tab w:val="num" w:pos="851"/>
        </w:tabs>
        <w:ind w:left="851" w:hanging="851"/>
      </w:pPr>
      <w:rPr>
        <w:rFonts w:ascii="Arial" w:hAnsi="Arial" w:cs="Arial" w:hint="default"/>
        <w:b w:val="0"/>
        <w:i w:val="0"/>
        <w:color w:val="auto"/>
        <w:sz w:val="22"/>
      </w:rPr>
    </w:lvl>
    <w:lvl w:ilvl="1">
      <w:start w:val="1"/>
      <w:numFmt w:val="decimal"/>
      <w:pStyle w:val="Numpara2"/>
      <w:lvlText w:val="%1.%2"/>
      <w:lvlJc w:val="left"/>
      <w:pPr>
        <w:tabs>
          <w:tab w:val="num" w:pos="1701"/>
        </w:tabs>
        <w:ind w:left="1701" w:hanging="850"/>
      </w:pPr>
      <w:rPr>
        <w:rFonts w:ascii="Arial" w:hAnsi="Arial" w:cs="Arial" w:hint="default"/>
        <w:b w:val="0"/>
      </w:rPr>
    </w:lvl>
    <w:lvl w:ilvl="2">
      <w:start w:val="1"/>
      <w:numFmt w:val="decimal"/>
      <w:pStyle w:val="Numpara3"/>
      <w:lvlText w:val="%1.%2.%3"/>
      <w:lvlJc w:val="left"/>
      <w:pPr>
        <w:tabs>
          <w:tab w:val="num" w:pos="2552"/>
        </w:tabs>
        <w:ind w:left="2552" w:hanging="851"/>
      </w:pPr>
    </w:lvl>
    <w:lvl w:ilvl="3">
      <w:start w:val="1"/>
      <w:numFmt w:val="decimal"/>
      <w:pStyle w:val="Numpara4"/>
      <w:lvlText w:val="%1.%2.%3.%4"/>
      <w:lvlJc w:val="left"/>
      <w:pPr>
        <w:tabs>
          <w:tab w:val="num" w:pos="3686"/>
        </w:tabs>
        <w:ind w:left="3686" w:hanging="1134"/>
      </w:pPr>
    </w:lvl>
    <w:lvl w:ilvl="4">
      <w:start w:val="1"/>
      <w:numFmt w:val="decimal"/>
      <w:lvlText w:val="%1.%2.%3.%4.%5"/>
      <w:lvlJc w:val="left"/>
      <w:pPr>
        <w:tabs>
          <w:tab w:val="num" w:pos="4820"/>
        </w:tabs>
        <w:ind w:left="4820" w:hanging="1134"/>
      </w:pPr>
    </w:lvl>
    <w:lvl w:ilvl="5">
      <w:start w:val="1"/>
      <w:numFmt w:val="decimal"/>
      <w:lvlText w:val="%1.%2.%3.%4.%5.%6."/>
      <w:lvlJc w:val="left"/>
      <w:pPr>
        <w:tabs>
          <w:tab w:val="num" w:pos="0"/>
        </w:tabs>
        <w:ind w:left="4532" w:hanging="708"/>
      </w:pPr>
    </w:lvl>
    <w:lvl w:ilvl="6">
      <w:start w:val="1"/>
      <w:numFmt w:val="decimal"/>
      <w:lvlText w:val="%1.%2.%3.%4.%5.%6.%7."/>
      <w:lvlJc w:val="left"/>
      <w:pPr>
        <w:tabs>
          <w:tab w:val="num" w:pos="0"/>
        </w:tabs>
        <w:ind w:left="5240" w:hanging="708"/>
      </w:pPr>
    </w:lvl>
    <w:lvl w:ilvl="7">
      <w:start w:val="1"/>
      <w:numFmt w:val="decimal"/>
      <w:lvlText w:val="%1.%2.%3.%4.%5.%6.%7.%8."/>
      <w:lvlJc w:val="left"/>
      <w:pPr>
        <w:tabs>
          <w:tab w:val="num" w:pos="0"/>
        </w:tabs>
        <w:ind w:left="5948" w:hanging="708"/>
      </w:pPr>
    </w:lvl>
    <w:lvl w:ilvl="8">
      <w:start w:val="1"/>
      <w:numFmt w:val="decimal"/>
      <w:lvlText w:val="%1.%2.%3.%4.%5.%6.%7.%8.%9."/>
      <w:lvlJc w:val="left"/>
      <w:pPr>
        <w:tabs>
          <w:tab w:val="num" w:pos="0"/>
        </w:tabs>
        <w:ind w:left="6656" w:hanging="708"/>
      </w:pPr>
    </w:lvl>
  </w:abstractNum>
  <w:abstractNum w:abstractNumId="10" w15:restartNumberingAfterBreak="0">
    <w:nsid w:val="1CC3C075"/>
    <w:multiLevelType w:val="hybridMultilevel"/>
    <w:tmpl w:val="80D03B3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B6B72A5"/>
    <w:multiLevelType w:val="multilevel"/>
    <w:tmpl w:val="106A2B7A"/>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EB522ED"/>
    <w:multiLevelType w:val="hybridMultilevel"/>
    <w:tmpl w:val="F9144110"/>
    <w:lvl w:ilvl="0" w:tplc="09C4F5EC">
      <w:start w:val="1"/>
      <w:numFmt w:val="decimal"/>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3" w15:restartNumberingAfterBreak="0">
    <w:nsid w:val="306B3C24"/>
    <w:multiLevelType w:val="multilevel"/>
    <w:tmpl w:val="DCC0628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6202FD8"/>
    <w:multiLevelType w:val="hybridMultilevel"/>
    <w:tmpl w:val="A52638C0"/>
    <w:lvl w:ilvl="0" w:tplc="95FEB1EE">
      <w:start w:val="1"/>
      <w:numFmt w:val="decimal"/>
      <w:lvlText w:val="%1."/>
      <w:lvlJc w:val="left"/>
      <w:pPr>
        <w:ind w:left="1211" w:hanging="360"/>
      </w:pPr>
      <w:rPr>
        <w:rFonts w:hint="default"/>
      </w:rPr>
    </w:lvl>
    <w:lvl w:ilvl="1" w:tplc="0C090019">
      <w:start w:val="1"/>
      <w:numFmt w:val="lowerLetter"/>
      <w:lvlText w:val="%2."/>
      <w:lvlJc w:val="left"/>
      <w:pPr>
        <w:ind w:left="1931" w:hanging="360"/>
      </w:pPr>
    </w:lvl>
    <w:lvl w:ilvl="2" w:tplc="0C09001B">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5" w15:restartNumberingAfterBreak="0">
    <w:nsid w:val="3A905F39"/>
    <w:multiLevelType w:val="hybridMultilevel"/>
    <w:tmpl w:val="4DB480C2"/>
    <w:lvl w:ilvl="0" w:tplc="FAA09100">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C293581"/>
    <w:multiLevelType w:val="hybridMultilevel"/>
    <w:tmpl w:val="B006882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408038E1"/>
    <w:multiLevelType w:val="hybridMultilevel"/>
    <w:tmpl w:val="BFB890E4"/>
    <w:lvl w:ilvl="0" w:tplc="0C090001">
      <w:start w:val="1"/>
      <w:numFmt w:val="bullet"/>
      <w:lvlText w:val=""/>
      <w:lvlJc w:val="left"/>
      <w:pPr>
        <w:ind w:left="1930" w:hanging="360"/>
      </w:pPr>
      <w:rPr>
        <w:rFonts w:ascii="Symbol" w:hAnsi="Symbol" w:hint="default"/>
      </w:rPr>
    </w:lvl>
    <w:lvl w:ilvl="1" w:tplc="0C090001">
      <w:start w:val="1"/>
      <w:numFmt w:val="bullet"/>
      <w:lvlText w:val=""/>
      <w:lvlJc w:val="left"/>
      <w:pPr>
        <w:ind w:left="2650" w:hanging="360"/>
      </w:pPr>
      <w:rPr>
        <w:rFonts w:ascii="Symbol" w:hAnsi="Symbol" w:hint="default"/>
      </w:rPr>
    </w:lvl>
    <w:lvl w:ilvl="2" w:tplc="0C09001B">
      <w:start w:val="1"/>
      <w:numFmt w:val="lowerRoman"/>
      <w:lvlText w:val="%3."/>
      <w:lvlJc w:val="right"/>
      <w:pPr>
        <w:ind w:left="3370" w:hanging="180"/>
      </w:pPr>
    </w:lvl>
    <w:lvl w:ilvl="3" w:tplc="0C09000F" w:tentative="1">
      <w:start w:val="1"/>
      <w:numFmt w:val="decimal"/>
      <w:lvlText w:val="%4."/>
      <w:lvlJc w:val="left"/>
      <w:pPr>
        <w:ind w:left="4090" w:hanging="360"/>
      </w:pPr>
    </w:lvl>
    <w:lvl w:ilvl="4" w:tplc="0C090019" w:tentative="1">
      <w:start w:val="1"/>
      <w:numFmt w:val="lowerLetter"/>
      <w:lvlText w:val="%5."/>
      <w:lvlJc w:val="left"/>
      <w:pPr>
        <w:ind w:left="4810" w:hanging="360"/>
      </w:pPr>
    </w:lvl>
    <w:lvl w:ilvl="5" w:tplc="0C09001B" w:tentative="1">
      <w:start w:val="1"/>
      <w:numFmt w:val="lowerRoman"/>
      <w:lvlText w:val="%6."/>
      <w:lvlJc w:val="right"/>
      <w:pPr>
        <w:ind w:left="5530" w:hanging="180"/>
      </w:pPr>
    </w:lvl>
    <w:lvl w:ilvl="6" w:tplc="0C09000F" w:tentative="1">
      <w:start w:val="1"/>
      <w:numFmt w:val="decimal"/>
      <w:lvlText w:val="%7."/>
      <w:lvlJc w:val="left"/>
      <w:pPr>
        <w:ind w:left="6250" w:hanging="360"/>
      </w:pPr>
    </w:lvl>
    <w:lvl w:ilvl="7" w:tplc="0C090019" w:tentative="1">
      <w:start w:val="1"/>
      <w:numFmt w:val="lowerLetter"/>
      <w:lvlText w:val="%8."/>
      <w:lvlJc w:val="left"/>
      <w:pPr>
        <w:ind w:left="6970" w:hanging="360"/>
      </w:pPr>
    </w:lvl>
    <w:lvl w:ilvl="8" w:tplc="0C09001B" w:tentative="1">
      <w:start w:val="1"/>
      <w:numFmt w:val="lowerRoman"/>
      <w:lvlText w:val="%9."/>
      <w:lvlJc w:val="right"/>
      <w:pPr>
        <w:ind w:left="7690" w:hanging="180"/>
      </w:pPr>
    </w:lvl>
  </w:abstractNum>
  <w:abstractNum w:abstractNumId="18" w15:restartNumberingAfterBreak="0">
    <w:nsid w:val="409F53A9"/>
    <w:multiLevelType w:val="hybridMultilevel"/>
    <w:tmpl w:val="5CD608D4"/>
    <w:lvl w:ilvl="0" w:tplc="459CEF48">
      <w:start w:val="1"/>
      <w:numFmt w:val="lowerLetter"/>
      <w:lvlText w:val="%1)"/>
      <w:lvlJc w:val="left"/>
      <w:pPr>
        <w:ind w:left="1920" w:hanging="360"/>
      </w:pPr>
      <w:rPr>
        <w:rFonts w:hint="default"/>
      </w:rPr>
    </w:lvl>
    <w:lvl w:ilvl="1" w:tplc="0C090019" w:tentative="1">
      <w:start w:val="1"/>
      <w:numFmt w:val="lowerLetter"/>
      <w:lvlText w:val="%2."/>
      <w:lvlJc w:val="left"/>
      <w:pPr>
        <w:ind w:left="2640" w:hanging="360"/>
      </w:pPr>
    </w:lvl>
    <w:lvl w:ilvl="2" w:tplc="0C09001B" w:tentative="1">
      <w:start w:val="1"/>
      <w:numFmt w:val="lowerRoman"/>
      <w:lvlText w:val="%3."/>
      <w:lvlJc w:val="right"/>
      <w:pPr>
        <w:ind w:left="3360" w:hanging="180"/>
      </w:pPr>
    </w:lvl>
    <w:lvl w:ilvl="3" w:tplc="0C09000F" w:tentative="1">
      <w:start w:val="1"/>
      <w:numFmt w:val="decimal"/>
      <w:lvlText w:val="%4."/>
      <w:lvlJc w:val="left"/>
      <w:pPr>
        <w:ind w:left="4080" w:hanging="360"/>
      </w:pPr>
    </w:lvl>
    <w:lvl w:ilvl="4" w:tplc="0C090019" w:tentative="1">
      <w:start w:val="1"/>
      <w:numFmt w:val="lowerLetter"/>
      <w:lvlText w:val="%5."/>
      <w:lvlJc w:val="left"/>
      <w:pPr>
        <w:ind w:left="4800" w:hanging="360"/>
      </w:pPr>
    </w:lvl>
    <w:lvl w:ilvl="5" w:tplc="0C09001B" w:tentative="1">
      <w:start w:val="1"/>
      <w:numFmt w:val="lowerRoman"/>
      <w:lvlText w:val="%6."/>
      <w:lvlJc w:val="right"/>
      <w:pPr>
        <w:ind w:left="5520" w:hanging="180"/>
      </w:pPr>
    </w:lvl>
    <w:lvl w:ilvl="6" w:tplc="0C09000F" w:tentative="1">
      <w:start w:val="1"/>
      <w:numFmt w:val="decimal"/>
      <w:lvlText w:val="%7."/>
      <w:lvlJc w:val="left"/>
      <w:pPr>
        <w:ind w:left="6240" w:hanging="360"/>
      </w:pPr>
    </w:lvl>
    <w:lvl w:ilvl="7" w:tplc="0C090019" w:tentative="1">
      <w:start w:val="1"/>
      <w:numFmt w:val="lowerLetter"/>
      <w:lvlText w:val="%8."/>
      <w:lvlJc w:val="left"/>
      <w:pPr>
        <w:ind w:left="6960" w:hanging="360"/>
      </w:pPr>
    </w:lvl>
    <w:lvl w:ilvl="8" w:tplc="0C09001B" w:tentative="1">
      <w:start w:val="1"/>
      <w:numFmt w:val="lowerRoman"/>
      <w:lvlText w:val="%9."/>
      <w:lvlJc w:val="right"/>
      <w:pPr>
        <w:ind w:left="7680" w:hanging="180"/>
      </w:pPr>
    </w:lvl>
  </w:abstractNum>
  <w:abstractNum w:abstractNumId="19" w15:restartNumberingAfterBreak="0">
    <w:nsid w:val="43170032"/>
    <w:multiLevelType w:val="hybridMultilevel"/>
    <w:tmpl w:val="6F744B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3C65136"/>
    <w:multiLevelType w:val="hybridMultilevel"/>
    <w:tmpl w:val="C756B830"/>
    <w:lvl w:ilvl="0" w:tplc="C29EABF8">
      <w:start w:val="1"/>
      <w:numFmt w:val="decimal"/>
      <w:lvlText w:val="%1."/>
      <w:lvlJc w:val="left"/>
      <w:pPr>
        <w:ind w:left="1211" w:hanging="360"/>
      </w:pPr>
      <w:rPr>
        <w:rFonts w:hint="default"/>
      </w:rPr>
    </w:lvl>
    <w:lvl w:ilvl="1" w:tplc="0C090019">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1" w15:restartNumberingAfterBreak="0">
    <w:nsid w:val="462700F2"/>
    <w:multiLevelType w:val="hybridMultilevel"/>
    <w:tmpl w:val="B71E88AE"/>
    <w:lvl w:ilvl="0" w:tplc="5C4C4EAE">
      <w:start w:val="1"/>
      <w:numFmt w:val="lowerLetter"/>
      <w:lvlText w:val="(%1)"/>
      <w:lvlJc w:val="left"/>
      <w:pPr>
        <w:ind w:left="61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6EF6F97"/>
    <w:multiLevelType w:val="multilevel"/>
    <w:tmpl w:val="106A2B7A"/>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F232E19"/>
    <w:multiLevelType w:val="hybridMultilevel"/>
    <w:tmpl w:val="E8664272"/>
    <w:lvl w:ilvl="0" w:tplc="969EB394">
      <w:start w:val="3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3D67364"/>
    <w:multiLevelType w:val="hybridMultilevel"/>
    <w:tmpl w:val="69D8EE6E"/>
    <w:lvl w:ilvl="0" w:tplc="D0F87510">
      <w:start w:val="1"/>
      <w:numFmt w:val="decimal"/>
      <w:lvlText w:val="%1."/>
      <w:lvlJc w:val="left"/>
      <w:pPr>
        <w:ind w:left="1087" w:hanging="72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B285965"/>
    <w:multiLevelType w:val="multilevel"/>
    <w:tmpl w:val="91166AEA"/>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FB26F14"/>
    <w:multiLevelType w:val="hybridMultilevel"/>
    <w:tmpl w:val="093A655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1C81F80"/>
    <w:multiLevelType w:val="hybridMultilevel"/>
    <w:tmpl w:val="8E5F1C2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662B4775"/>
    <w:multiLevelType w:val="hybridMultilevel"/>
    <w:tmpl w:val="25DCC268"/>
    <w:lvl w:ilvl="0" w:tplc="0E58AF86">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68D90DE9"/>
    <w:multiLevelType w:val="hybridMultilevel"/>
    <w:tmpl w:val="346C92F2"/>
    <w:lvl w:ilvl="0" w:tplc="A2007A1E">
      <w:start w:val="1"/>
      <w:numFmt w:val="decimal"/>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0" w15:restartNumberingAfterBreak="0">
    <w:nsid w:val="6A691299"/>
    <w:multiLevelType w:val="hybridMultilevel"/>
    <w:tmpl w:val="5A3ACC96"/>
    <w:lvl w:ilvl="0" w:tplc="BE9A8F94">
      <w:numFmt w:val="bullet"/>
      <w:lvlText w:val="–"/>
      <w:lvlJc w:val="left"/>
      <w:pPr>
        <w:ind w:left="720" w:hanging="360"/>
      </w:pPr>
      <w:rPr>
        <w:rFonts w:ascii="Times New Roman" w:eastAsia="Times New Roman" w:hAnsi="Times New Roman" w:cs="Times New Roman" w:hint="default"/>
        <w:spacing w:val="-1"/>
        <w:w w:val="100"/>
        <w:sz w:val="12"/>
        <w:szCs w:val="1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9C247DB"/>
    <w:multiLevelType w:val="hybridMultilevel"/>
    <w:tmpl w:val="156A0418"/>
    <w:lvl w:ilvl="0" w:tplc="94D8C584">
      <w:start w:val="24"/>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8"/>
  </w:num>
  <w:num w:numId="3">
    <w:abstractNumId w:val="9"/>
  </w:num>
  <w:num w:numId="4">
    <w:abstractNumId w:val="15"/>
  </w:num>
  <w:num w:numId="5">
    <w:abstractNumId w:val="28"/>
  </w:num>
  <w:num w:numId="6">
    <w:abstractNumId w:val="31"/>
  </w:num>
  <w:num w:numId="7">
    <w:abstractNumId w:val="16"/>
  </w:num>
  <w:num w:numId="8">
    <w:abstractNumId w:val="7"/>
  </w:num>
  <w:num w:numId="9">
    <w:abstractNumId w:val="5"/>
  </w:num>
  <w:num w:numId="10">
    <w:abstractNumId w:val="23"/>
  </w:num>
  <w:num w:numId="11">
    <w:abstractNumId w:val="30"/>
  </w:num>
  <w:num w:numId="12">
    <w:abstractNumId w:val="17"/>
  </w:num>
  <w:num w:numId="13">
    <w:abstractNumId w:val="14"/>
  </w:num>
  <w:num w:numId="14">
    <w:abstractNumId w:val="13"/>
  </w:num>
  <w:num w:numId="15">
    <w:abstractNumId w:val="20"/>
  </w:num>
  <w:num w:numId="16">
    <w:abstractNumId w:val="3"/>
  </w:num>
  <w:num w:numId="17">
    <w:abstractNumId w:val="25"/>
  </w:num>
  <w:num w:numId="18">
    <w:abstractNumId w:val="29"/>
  </w:num>
  <w:num w:numId="19">
    <w:abstractNumId w:val="6"/>
  </w:num>
  <w:num w:numId="20">
    <w:abstractNumId w:val="18"/>
  </w:num>
  <w:num w:numId="21">
    <w:abstractNumId w:val="12"/>
  </w:num>
  <w:num w:numId="22">
    <w:abstractNumId w:val="19"/>
  </w:num>
  <w:num w:numId="23">
    <w:abstractNumId w:val="21"/>
  </w:num>
  <w:num w:numId="24">
    <w:abstractNumId w:val="26"/>
  </w:num>
  <w:num w:numId="25">
    <w:abstractNumId w:val="2"/>
  </w:num>
  <w:num w:numId="26">
    <w:abstractNumId w:val="4"/>
  </w:num>
  <w:num w:numId="27">
    <w:abstractNumId w:val="22"/>
  </w:num>
  <w:num w:numId="28">
    <w:abstractNumId w:val="1"/>
  </w:num>
  <w:num w:numId="29">
    <w:abstractNumId w:val="27"/>
  </w:num>
  <w:num w:numId="30">
    <w:abstractNumId w:val="0"/>
  </w:num>
  <w:num w:numId="31">
    <w:abstractNumId w:val="10"/>
  </w:num>
  <w:num w:numId="32">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016"/>
    <w:rsid w:val="00007B8A"/>
    <w:rsid w:val="000228AE"/>
    <w:rsid w:val="00023E0F"/>
    <w:rsid w:val="000250A0"/>
    <w:rsid w:val="0003764B"/>
    <w:rsid w:val="00046390"/>
    <w:rsid w:val="000602E1"/>
    <w:rsid w:val="00061DA1"/>
    <w:rsid w:val="00061FDE"/>
    <w:rsid w:val="00064864"/>
    <w:rsid w:val="00065C0B"/>
    <w:rsid w:val="00065F0B"/>
    <w:rsid w:val="00084CB8"/>
    <w:rsid w:val="00086C8A"/>
    <w:rsid w:val="000907E8"/>
    <w:rsid w:val="000969E9"/>
    <w:rsid w:val="0009768E"/>
    <w:rsid w:val="000A2865"/>
    <w:rsid w:val="000B4651"/>
    <w:rsid w:val="000B6E79"/>
    <w:rsid w:val="000C5CCA"/>
    <w:rsid w:val="000C7CFA"/>
    <w:rsid w:val="000D29D8"/>
    <w:rsid w:val="000E167F"/>
    <w:rsid w:val="000E5DC9"/>
    <w:rsid w:val="000F2E45"/>
    <w:rsid w:val="00106DDE"/>
    <w:rsid w:val="00110D6E"/>
    <w:rsid w:val="001130BE"/>
    <w:rsid w:val="00116169"/>
    <w:rsid w:val="001274BC"/>
    <w:rsid w:val="001416F0"/>
    <w:rsid w:val="00141F66"/>
    <w:rsid w:val="001504AC"/>
    <w:rsid w:val="0015602D"/>
    <w:rsid w:val="001562CD"/>
    <w:rsid w:val="00165C3C"/>
    <w:rsid w:val="00165DB6"/>
    <w:rsid w:val="00174AC8"/>
    <w:rsid w:val="00185102"/>
    <w:rsid w:val="001B0F56"/>
    <w:rsid w:val="001B34EF"/>
    <w:rsid w:val="001C1672"/>
    <w:rsid w:val="001C2EAD"/>
    <w:rsid w:val="001D0C64"/>
    <w:rsid w:val="001D3605"/>
    <w:rsid w:val="001D3DE6"/>
    <w:rsid w:val="001D56BF"/>
    <w:rsid w:val="001E447B"/>
    <w:rsid w:val="001E4D96"/>
    <w:rsid w:val="001F3D47"/>
    <w:rsid w:val="001F53B8"/>
    <w:rsid w:val="00201977"/>
    <w:rsid w:val="002070F7"/>
    <w:rsid w:val="00211B75"/>
    <w:rsid w:val="002142BC"/>
    <w:rsid w:val="002229A0"/>
    <w:rsid w:val="0022504B"/>
    <w:rsid w:val="00225ADE"/>
    <w:rsid w:val="00227F4D"/>
    <w:rsid w:val="002405DE"/>
    <w:rsid w:val="00247C6B"/>
    <w:rsid w:val="00247DD9"/>
    <w:rsid w:val="00257E31"/>
    <w:rsid w:val="00267FE7"/>
    <w:rsid w:val="00270151"/>
    <w:rsid w:val="00274671"/>
    <w:rsid w:val="00286F66"/>
    <w:rsid w:val="00290341"/>
    <w:rsid w:val="00290589"/>
    <w:rsid w:val="002A10E4"/>
    <w:rsid w:val="002A581D"/>
    <w:rsid w:val="002B0F30"/>
    <w:rsid w:val="002B5743"/>
    <w:rsid w:val="002C05AD"/>
    <w:rsid w:val="002C3869"/>
    <w:rsid w:val="002C6BAC"/>
    <w:rsid w:val="002D12F8"/>
    <w:rsid w:val="002D3FDC"/>
    <w:rsid w:val="002D4020"/>
    <w:rsid w:val="002E4357"/>
    <w:rsid w:val="002E6F85"/>
    <w:rsid w:val="002F071D"/>
    <w:rsid w:val="00303832"/>
    <w:rsid w:val="00303DA8"/>
    <w:rsid w:val="0031412D"/>
    <w:rsid w:val="003143CE"/>
    <w:rsid w:val="00322F54"/>
    <w:rsid w:val="0032428D"/>
    <w:rsid w:val="00326784"/>
    <w:rsid w:val="00330139"/>
    <w:rsid w:val="00337B79"/>
    <w:rsid w:val="0034428E"/>
    <w:rsid w:val="00346400"/>
    <w:rsid w:val="00356E2A"/>
    <w:rsid w:val="003663E0"/>
    <w:rsid w:val="0037037E"/>
    <w:rsid w:val="00374321"/>
    <w:rsid w:val="003873FF"/>
    <w:rsid w:val="00393FBD"/>
    <w:rsid w:val="00394C6D"/>
    <w:rsid w:val="00397DF8"/>
    <w:rsid w:val="003A1309"/>
    <w:rsid w:val="003B0D69"/>
    <w:rsid w:val="003B127F"/>
    <w:rsid w:val="003B676C"/>
    <w:rsid w:val="003B6AD3"/>
    <w:rsid w:val="003B7938"/>
    <w:rsid w:val="003C5040"/>
    <w:rsid w:val="003C79E6"/>
    <w:rsid w:val="003C7BA3"/>
    <w:rsid w:val="003C7C74"/>
    <w:rsid w:val="003C7FD9"/>
    <w:rsid w:val="003D4985"/>
    <w:rsid w:val="003E5DD5"/>
    <w:rsid w:val="00407450"/>
    <w:rsid w:val="00411135"/>
    <w:rsid w:val="00414C55"/>
    <w:rsid w:val="004364BD"/>
    <w:rsid w:val="00457661"/>
    <w:rsid w:val="004665FC"/>
    <w:rsid w:val="00471016"/>
    <w:rsid w:val="004810E0"/>
    <w:rsid w:val="004844FB"/>
    <w:rsid w:val="00485654"/>
    <w:rsid w:val="00487074"/>
    <w:rsid w:val="004871C3"/>
    <w:rsid w:val="0049735B"/>
    <w:rsid w:val="004974A0"/>
    <w:rsid w:val="004A51AC"/>
    <w:rsid w:val="004B0B81"/>
    <w:rsid w:val="004B7390"/>
    <w:rsid w:val="004E5961"/>
    <w:rsid w:val="004F0371"/>
    <w:rsid w:val="004F2F83"/>
    <w:rsid w:val="004F51D0"/>
    <w:rsid w:val="0050054B"/>
    <w:rsid w:val="00516C89"/>
    <w:rsid w:val="00530655"/>
    <w:rsid w:val="00530888"/>
    <w:rsid w:val="0053281D"/>
    <w:rsid w:val="00532E92"/>
    <w:rsid w:val="005414D0"/>
    <w:rsid w:val="005436CF"/>
    <w:rsid w:val="00551909"/>
    <w:rsid w:val="00552D9C"/>
    <w:rsid w:val="00562A46"/>
    <w:rsid w:val="0057259A"/>
    <w:rsid w:val="00587E92"/>
    <w:rsid w:val="005924E0"/>
    <w:rsid w:val="00594F01"/>
    <w:rsid w:val="005958E8"/>
    <w:rsid w:val="005A247E"/>
    <w:rsid w:val="005A2485"/>
    <w:rsid w:val="005A7577"/>
    <w:rsid w:val="005A77F5"/>
    <w:rsid w:val="005B226A"/>
    <w:rsid w:val="005B4FD6"/>
    <w:rsid w:val="005B6D6C"/>
    <w:rsid w:val="005D7B7C"/>
    <w:rsid w:val="006006C1"/>
    <w:rsid w:val="006059B2"/>
    <w:rsid w:val="00605CCA"/>
    <w:rsid w:val="00617492"/>
    <w:rsid w:val="00617779"/>
    <w:rsid w:val="00617A5C"/>
    <w:rsid w:val="006244DF"/>
    <w:rsid w:val="0062501F"/>
    <w:rsid w:val="0062767C"/>
    <w:rsid w:val="00632C58"/>
    <w:rsid w:val="006353D8"/>
    <w:rsid w:val="00636EAC"/>
    <w:rsid w:val="00637DC7"/>
    <w:rsid w:val="00672162"/>
    <w:rsid w:val="00682D67"/>
    <w:rsid w:val="00683539"/>
    <w:rsid w:val="006864F5"/>
    <w:rsid w:val="00696DA6"/>
    <w:rsid w:val="00697070"/>
    <w:rsid w:val="006A1162"/>
    <w:rsid w:val="006A6629"/>
    <w:rsid w:val="006C2D94"/>
    <w:rsid w:val="006C3AD8"/>
    <w:rsid w:val="006D1597"/>
    <w:rsid w:val="006D1B3F"/>
    <w:rsid w:val="006D775E"/>
    <w:rsid w:val="006E005A"/>
    <w:rsid w:val="006E3088"/>
    <w:rsid w:val="006F6585"/>
    <w:rsid w:val="00716445"/>
    <w:rsid w:val="007239CB"/>
    <w:rsid w:val="007240E5"/>
    <w:rsid w:val="007249C5"/>
    <w:rsid w:val="007417B4"/>
    <w:rsid w:val="007432AD"/>
    <w:rsid w:val="00746570"/>
    <w:rsid w:val="007471FB"/>
    <w:rsid w:val="00751CE8"/>
    <w:rsid w:val="007711E9"/>
    <w:rsid w:val="00771CBD"/>
    <w:rsid w:val="0077304C"/>
    <w:rsid w:val="007810B9"/>
    <w:rsid w:val="007961DB"/>
    <w:rsid w:val="007A0373"/>
    <w:rsid w:val="007A09F0"/>
    <w:rsid w:val="007B1F3C"/>
    <w:rsid w:val="007B4B94"/>
    <w:rsid w:val="007B4BF5"/>
    <w:rsid w:val="007C2567"/>
    <w:rsid w:val="007C3653"/>
    <w:rsid w:val="007E6DFD"/>
    <w:rsid w:val="007F7760"/>
    <w:rsid w:val="008214DB"/>
    <w:rsid w:val="00825354"/>
    <w:rsid w:val="008354CD"/>
    <w:rsid w:val="00836B7B"/>
    <w:rsid w:val="008447B2"/>
    <w:rsid w:val="00847994"/>
    <w:rsid w:val="00847D74"/>
    <w:rsid w:val="00880738"/>
    <w:rsid w:val="008941DD"/>
    <w:rsid w:val="008C4C8F"/>
    <w:rsid w:val="008C58C8"/>
    <w:rsid w:val="008C63FF"/>
    <w:rsid w:val="008D10FB"/>
    <w:rsid w:val="008D23A9"/>
    <w:rsid w:val="00906306"/>
    <w:rsid w:val="00912715"/>
    <w:rsid w:val="00922181"/>
    <w:rsid w:val="009226F5"/>
    <w:rsid w:val="009350CF"/>
    <w:rsid w:val="0094297B"/>
    <w:rsid w:val="00945ABC"/>
    <w:rsid w:val="009529C5"/>
    <w:rsid w:val="009550FF"/>
    <w:rsid w:val="009647FF"/>
    <w:rsid w:val="00970584"/>
    <w:rsid w:val="00975342"/>
    <w:rsid w:val="0097567E"/>
    <w:rsid w:val="00980811"/>
    <w:rsid w:val="0098204C"/>
    <w:rsid w:val="00993159"/>
    <w:rsid w:val="009A618C"/>
    <w:rsid w:val="009C3A10"/>
    <w:rsid w:val="009D4CA6"/>
    <w:rsid w:val="009D6D06"/>
    <w:rsid w:val="009E5190"/>
    <w:rsid w:val="009F1027"/>
    <w:rsid w:val="00A0499E"/>
    <w:rsid w:val="00A056B9"/>
    <w:rsid w:val="00A315FB"/>
    <w:rsid w:val="00A344A5"/>
    <w:rsid w:val="00A500AD"/>
    <w:rsid w:val="00A520E1"/>
    <w:rsid w:val="00A53238"/>
    <w:rsid w:val="00A61F31"/>
    <w:rsid w:val="00A65C58"/>
    <w:rsid w:val="00A67166"/>
    <w:rsid w:val="00A706DB"/>
    <w:rsid w:val="00A7097D"/>
    <w:rsid w:val="00A712DC"/>
    <w:rsid w:val="00A72C0D"/>
    <w:rsid w:val="00A76211"/>
    <w:rsid w:val="00A77690"/>
    <w:rsid w:val="00A96784"/>
    <w:rsid w:val="00AC3C5C"/>
    <w:rsid w:val="00AC635D"/>
    <w:rsid w:val="00AD23FD"/>
    <w:rsid w:val="00AD63E7"/>
    <w:rsid w:val="00AE0F7C"/>
    <w:rsid w:val="00AE1531"/>
    <w:rsid w:val="00AE37D5"/>
    <w:rsid w:val="00B012F5"/>
    <w:rsid w:val="00B03FB7"/>
    <w:rsid w:val="00B250B7"/>
    <w:rsid w:val="00B251CF"/>
    <w:rsid w:val="00B31351"/>
    <w:rsid w:val="00B317B3"/>
    <w:rsid w:val="00B3443B"/>
    <w:rsid w:val="00B36294"/>
    <w:rsid w:val="00B407DF"/>
    <w:rsid w:val="00B464E2"/>
    <w:rsid w:val="00B50CF8"/>
    <w:rsid w:val="00B50D53"/>
    <w:rsid w:val="00B64F35"/>
    <w:rsid w:val="00B65B25"/>
    <w:rsid w:val="00B87736"/>
    <w:rsid w:val="00BA5AD8"/>
    <w:rsid w:val="00BB2225"/>
    <w:rsid w:val="00BB3D4D"/>
    <w:rsid w:val="00BB5A40"/>
    <w:rsid w:val="00BB7ED7"/>
    <w:rsid w:val="00BC774F"/>
    <w:rsid w:val="00BD2DD5"/>
    <w:rsid w:val="00BF79C2"/>
    <w:rsid w:val="00C101E8"/>
    <w:rsid w:val="00C21DA9"/>
    <w:rsid w:val="00C256BD"/>
    <w:rsid w:val="00C318B2"/>
    <w:rsid w:val="00C42DFB"/>
    <w:rsid w:val="00C46348"/>
    <w:rsid w:val="00C521F5"/>
    <w:rsid w:val="00C70B12"/>
    <w:rsid w:val="00C76FC2"/>
    <w:rsid w:val="00C806AE"/>
    <w:rsid w:val="00C8243F"/>
    <w:rsid w:val="00C836BE"/>
    <w:rsid w:val="00C85FC3"/>
    <w:rsid w:val="00CA2D78"/>
    <w:rsid w:val="00CC1BA2"/>
    <w:rsid w:val="00CD0ACE"/>
    <w:rsid w:val="00CE7239"/>
    <w:rsid w:val="00CF33E9"/>
    <w:rsid w:val="00CF6CB4"/>
    <w:rsid w:val="00D06876"/>
    <w:rsid w:val="00D101AC"/>
    <w:rsid w:val="00D12121"/>
    <w:rsid w:val="00D20198"/>
    <w:rsid w:val="00D27453"/>
    <w:rsid w:val="00D27CEF"/>
    <w:rsid w:val="00D33569"/>
    <w:rsid w:val="00D35740"/>
    <w:rsid w:val="00D61918"/>
    <w:rsid w:val="00D71BFE"/>
    <w:rsid w:val="00D72B80"/>
    <w:rsid w:val="00D87B07"/>
    <w:rsid w:val="00D97D98"/>
    <w:rsid w:val="00DA3D9E"/>
    <w:rsid w:val="00DB4808"/>
    <w:rsid w:val="00DD197B"/>
    <w:rsid w:val="00DD315B"/>
    <w:rsid w:val="00DE032C"/>
    <w:rsid w:val="00DE0413"/>
    <w:rsid w:val="00DE1137"/>
    <w:rsid w:val="00DE14CF"/>
    <w:rsid w:val="00DE412D"/>
    <w:rsid w:val="00DF00AB"/>
    <w:rsid w:val="00DF1874"/>
    <w:rsid w:val="00DF3E50"/>
    <w:rsid w:val="00DF703E"/>
    <w:rsid w:val="00E07EB0"/>
    <w:rsid w:val="00E10095"/>
    <w:rsid w:val="00E14660"/>
    <w:rsid w:val="00E14B07"/>
    <w:rsid w:val="00E21F57"/>
    <w:rsid w:val="00E22ACE"/>
    <w:rsid w:val="00E245FA"/>
    <w:rsid w:val="00E24F4C"/>
    <w:rsid w:val="00E26413"/>
    <w:rsid w:val="00E3295F"/>
    <w:rsid w:val="00E34563"/>
    <w:rsid w:val="00E34D0B"/>
    <w:rsid w:val="00E400CD"/>
    <w:rsid w:val="00E40C39"/>
    <w:rsid w:val="00E4645A"/>
    <w:rsid w:val="00E53239"/>
    <w:rsid w:val="00E54FC1"/>
    <w:rsid w:val="00E66C7B"/>
    <w:rsid w:val="00E709A2"/>
    <w:rsid w:val="00E7391A"/>
    <w:rsid w:val="00E73BA0"/>
    <w:rsid w:val="00E7430D"/>
    <w:rsid w:val="00E767E6"/>
    <w:rsid w:val="00E9388B"/>
    <w:rsid w:val="00EA421B"/>
    <w:rsid w:val="00EA495B"/>
    <w:rsid w:val="00EA7AB8"/>
    <w:rsid w:val="00EB1734"/>
    <w:rsid w:val="00EB2866"/>
    <w:rsid w:val="00EB297D"/>
    <w:rsid w:val="00EB2E16"/>
    <w:rsid w:val="00EC04C7"/>
    <w:rsid w:val="00EC22C4"/>
    <w:rsid w:val="00ED0CF2"/>
    <w:rsid w:val="00ED4343"/>
    <w:rsid w:val="00ED6D26"/>
    <w:rsid w:val="00EE04AB"/>
    <w:rsid w:val="00EF7435"/>
    <w:rsid w:val="00F01247"/>
    <w:rsid w:val="00F05F03"/>
    <w:rsid w:val="00F10229"/>
    <w:rsid w:val="00F2017C"/>
    <w:rsid w:val="00F22560"/>
    <w:rsid w:val="00F3673B"/>
    <w:rsid w:val="00F37F8E"/>
    <w:rsid w:val="00F470AC"/>
    <w:rsid w:val="00F475E1"/>
    <w:rsid w:val="00F506F0"/>
    <w:rsid w:val="00F62BB4"/>
    <w:rsid w:val="00F70D79"/>
    <w:rsid w:val="00F73590"/>
    <w:rsid w:val="00F76DC7"/>
    <w:rsid w:val="00F76EB3"/>
    <w:rsid w:val="00F81470"/>
    <w:rsid w:val="00F85A8B"/>
    <w:rsid w:val="00F87204"/>
    <w:rsid w:val="00F8747F"/>
    <w:rsid w:val="00FA0923"/>
    <w:rsid w:val="00FB0442"/>
    <w:rsid w:val="00FB6B9C"/>
    <w:rsid w:val="00FC110A"/>
    <w:rsid w:val="00FD79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B78B1"/>
  <w15:chartTrackingRefBased/>
  <w15:docId w15:val="{1450B723-6E50-48BF-A634-27671529A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710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710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101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71016"/>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471016"/>
    <w:pPr>
      <w:outlineLvl w:val="9"/>
    </w:pPr>
    <w:rPr>
      <w:lang w:val="en-US"/>
    </w:rPr>
  </w:style>
  <w:style w:type="paragraph" w:styleId="TOC1">
    <w:name w:val="toc 1"/>
    <w:basedOn w:val="Normal"/>
    <w:next w:val="Normal"/>
    <w:autoRedefine/>
    <w:uiPriority w:val="39"/>
    <w:unhideWhenUsed/>
    <w:rsid w:val="00471016"/>
    <w:pPr>
      <w:spacing w:after="100"/>
    </w:pPr>
  </w:style>
  <w:style w:type="character" w:styleId="Hyperlink">
    <w:name w:val="Hyperlink"/>
    <w:basedOn w:val="DefaultParagraphFont"/>
    <w:uiPriority w:val="99"/>
    <w:unhideWhenUsed/>
    <w:rsid w:val="00471016"/>
    <w:rPr>
      <w:color w:val="0563C1" w:themeColor="hyperlink"/>
      <w:u w:val="single"/>
    </w:rPr>
  </w:style>
  <w:style w:type="paragraph" w:styleId="NoSpacing">
    <w:name w:val="No Spacing"/>
    <w:link w:val="NoSpacingChar"/>
    <w:uiPriority w:val="1"/>
    <w:qFormat/>
    <w:rsid w:val="00165DB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65DB6"/>
    <w:rPr>
      <w:rFonts w:eastAsiaTheme="minorEastAsia"/>
      <w:lang w:val="en-US"/>
    </w:rPr>
  </w:style>
  <w:style w:type="paragraph" w:styleId="ListParagraph">
    <w:name w:val="List Paragraph"/>
    <w:basedOn w:val="Normal"/>
    <w:uiPriority w:val="34"/>
    <w:qFormat/>
    <w:rsid w:val="00330139"/>
    <w:pPr>
      <w:ind w:left="720"/>
      <w:contextualSpacing/>
    </w:pPr>
  </w:style>
  <w:style w:type="paragraph" w:styleId="TOC2">
    <w:name w:val="toc 2"/>
    <w:basedOn w:val="Normal"/>
    <w:next w:val="Normal"/>
    <w:autoRedefine/>
    <w:uiPriority w:val="39"/>
    <w:unhideWhenUsed/>
    <w:rsid w:val="00825354"/>
    <w:pPr>
      <w:spacing w:after="100"/>
      <w:ind w:left="220"/>
    </w:pPr>
  </w:style>
  <w:style w:type="paragraph" w:customStyle="1" w:styleId="Numpara2">
    <w:name w:val="Numpara2"/>
    <w:basedOn w:val="Normal"/>
    <w:rsid w:val="00290589"/>
    <w:pPr>
      <w:numPr>
        <w:ilvl w:val="1"/>
        <w:numId w:val="3"/>
      </w:numPr>
      <w:spacing w:after="240" w:line="360" w:lineRule="auto"/>
    </w:pPr>
    <w:rPr>
      <w:rFonts w:ascii="Arial" w:eastAsia="Times New Roman" w:hAnsi="Arial" w:cs="Times New Roman"/>
    </w:rPr>
  </w:style>
  <w:style w:type="paragraph" w:customStyle="1" w:styleId="Numpara3">
    <w:name w:val="Numpara3"/>
    <w:basedOn w:val="Normal"/>
    <w:rsid w:val="00290589"/>
    <w:pPr>
      <w:numPr>
        <w:ilvl w:val="2"/>
        <w:numId w:val="3"/>
      </w:numPr>
      <w:spacing w:after="240" w:line="240" w:lineRule="auto"/>
    </w:pPr>
    <w:rPr>
      <w:rFonts w:ascii="Arial" w:eastAsia="Times New Roman" w:hAnsi="Arial" w:cs="Times New Roman"/>
    </w:rPr>
  </w:style>
  <w:style w:type="paragraph" w:customStyle="1" w:styleId="Numpara4">
    <w:name w:val="Numpara4"/>
    <w:basedOn w:val="Normal"/>
    <w:rsid w:val="00290589"/>
    <w:pPr>
      <w:numPr>
        <w:ilvl w:val="3"/>
        <w:numId w:val="3"/>
      </w:numPr>
      <w:spacing w:after="240" w:line="240" w:lineRule="auto"/>
    </w:pPr>
    <w:rPr>
      <w:rFonts w:ascii="Arial" w:eastAsia="Times New Roman" w:hAnsi="Arial" w:cs="Times New Roman"/>
    </w:rPr>
  </w:style>
  <w:style w:type="table" w:styleId="TableGrid">
    <w:name w:val="Table Grid"/>
    <w:basedOn w:val="TableNormal"/>
    <w:uiPriority w:val="39"/>
    <w:rsid w:val="004F5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50D53"/>
    <w:pPr>
      <w:spacing w:after="200" w:line="240" w:lineRule="auto"/>
    </w:pPr>
    <w:rPr>
      <w:i/>
      <w:iCs/>
      <w:color w:val="44546A" w:themeColor="text2"/>
      <w:sz w:val="18"/>
      <w:szCs w:val="18"/>
    </w:rPr>
  </w:style>
  <w:style w:type="paragraph" w:styleId="Header">
    <w:name w:val="header"/>
    <w:basedOn w:val="Normal"/>
    <w:link w:val="HeaderChar"/>
    <w:uiPriority w:val="99"/>
    <w:unhideWhenUsed/>
    <w:rsid w:val="00D274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7453"/>
  </w:style>
  <w:style w:type="paragraph" w:styleId="Footer">
    <w:name w:val="footer"/>
    <w:basedOn w:val="Normal"/>
    <w:link w:val="FooterChar"/>
    <w:uiPriority w:val="99"/>
    <w:unhideWhenUsed/>
    <w:rsid w:val="00D274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7453"/>
  </w:style>
  <w:style w:type="paragraph" w:styleId="BalloonText">
    <w:name w:val="Balloon Text"/>
    <w:basedOn w:val="Normal"/>
    <w:link w:val="BalloonTextChar"/>
    <w:uiPriority w:val="99"/>
    <w:semiHidden/>
    <w:unhideWhenUsed/>
    <w:rsid w:val="006A66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629"/>
    <w:rPr>
      <w:rFonts w:ascii="Segoe UI" w:hAnsi="Segoe UI" w:cs="Segoe UI"/>
      <w:sz w:val="18"/>
      <w:szCs w:val="18"/>
    </w:rPr>
  </w:style>
  <w:style w:type="paragraph" w:customStyle="1" w:styleId="Numpara1">
    <w:name w:val="Numpara1"/>
    <w:basedOn w:val="Normal"/>
    <w:link w:val="Numpara1Char"/>
    <w:qFormat/>
    <w:rsid w:val="00C318B2"/>
    <w:pPr>
      <w:spacing w:after="240" w:line="360" w:lineRule="auto"/>
    </w:pPr>
    <w:rPr>
      <w:rFonts w:ascii="Arial" w:eastAsia="Times New Roman" w:hAnsi="Arial" w:cs="Times New Roman"/>
    </w:rPr>
  </w:style>
  <w:style w:type="character" w:customStyle="1" w:styleId="Numpara1Char">
    <w:name w:val="Numpara1 Char"/>
    <w:link w:val="Numpara1"/>
    <w:locked/>
    <w:rsid w:val="00C318B2"/>
    <w:rPr>
      <w:rFonts w:ascii="Arial" w:eastAsia="Times New Roman" w:hAnsi="Arial" w:cs="Times New Roman"/>
    </w:rPr>
  </w:style>
  <w:style w:type="paragraph" w:customStyle="1" w:styleId="Default">
    <w:name w:val="Default"/>
    <w:rsid w:val="005A7577"/>
    <w:pPr>
      <w:autoSpaceDE w:val="0"/>
      <w:autoSpaceDN w:val="0"/>
      <w:adjustRightInd w:val="0"/>
      <w:spacing w:after="0" w:line="240" w:lineRule="auto"/>
    </w:pPr>
    <w:rPr>
      <w:rFonts w:ascii="Symbol" w:hAnsi="Symbol" w:cs="Symbol"/>
      <w:color w:val="000000"/>
      <w:sz w:val="24"/>
      <w:szCs w:val="24"/>
    </w:rPr>
  </w:style>
  <w:style w:type="character" w:styleId="CommentReference">
    <w:name w:val="annotation reference"/>
    <w:basedOn w:val="DefaultParagraphFont"/>
    <w:uiPriority w:val="99"/>
    <w:semiHidden/>
    <w:unhideWhenUsed/>
    <w:rsid w:val="000602E1"/>
    <w:rPr>
      <w:sz w:val="16"/>
      <w:szCs w:val="16"/>
    </w:rPr>
  </w:style>
  <w:style w:type="paragraph" w:styleId="CommentText">
    <w:name w:val="annotation text"/>
    <w:basedOn w:val="Normal"/>
    <w:link w:val="CommentTextChar"/>
    <w:uiPriority w:val="99"/>
    <w:semiHidden/>
    <w:unhideWhenUsed/>
    <w:rsid w:val="000602E1"/>
    <w:pPr>
      <w:spacing w:line="240" w:lineRule="auto"/>
    </w:pPr>
    <w:rPr>
      <w:sz w:val="20"/>
      <w:szCs w:val="20"/>
    </w:rPr>
  </w:style>
  <w:style w:type="character" w:customStyle="1" w:styleId="CommentTextChar">
    <w:name w:val="Comment Text Char"/>
    <w:basedOn w:val="DefaultParagraphFont"/>
    <w:link w:val="CommentText"/>
    <w:uiPriority w:val="99"/>
    <w:semiHidden/>
    <w:rsid w:val="000602E1"/>
    <w:rPr>
      <w:sz w:val="20"/>
      <w:szCs w:val="20"/>
    </w:rPr>
  </w:style>
  <w:style w:type="paragraph" w:styleId="CommentSubject">
    <w:name w:val="annotation subject"/>
    <w:basedOn w:val="CommentText"/>
    <w:next w:val="CommentText"/>
    <w:link w:val="CommentSubjectChar"/>
    <w:uiPriority w:val="99"/>
    <w:semiHidden/>
    <w:unhideWhenUsed/>
    <w:rsid w:val="000602E1"/>
    <w:rPr>
      <w:b/>
      <w:bCs/>
    </w:rPr>
  </w:style>
  <w:style w:type="character" w:customStyle="1" w:styleId="CommentSubjectChar">
    <w:name w:val="Comment Subject Char"/>
    <w:basedOn w:val="CommentTextChar"/>
    <w:link w:val="CommentSubject"/>
    <w:uiPriority w:val="99"/>
    <w:semiHidden/>
    <w:rsid w:val="000602E1"/>
    <w:rPr>
      <w:b/>
      <w:bCs/>
      <w:sz w:val="20"/>
      <w:szCs w:val="20"/>
    </w:rPr>
  </w:style>
  <w:style w:type="paragraph" w:customStyle="1" w:styleId="mainTitle">
    <w:name w:val="mainTitle"/>
    <w:next w:val="Normal"/>
    <w:qFormat/>
    <w:rsid w:val="007C2567"/>
    <w:pPr>
      <w:pBdr>
        <w:bottom w:val="single" w:sz="4" w:space="1" w:color="auto"/>
      </w:pBdr>
      <w:spacing w:after="0" w:line="240" w:lineRule="auto"/>
    </w:pPr>
    <w:rPr>
      <w:rFonts w:ascii="Arial" w:eastAsia="Times New Roman" w:hAnsi="Arial" w:cs="Times New Roman"/>
      <w:b/>
      <w:noProof/>
      <w:sz w:val="34"/>
      <w:szCs w:val="20"/>
      <w:lang w:val="en-US"/>
    </w:rPr>
  </w:style>
  <w:style w:type="paragraph" w:customStyle="1" w:styleId="Bullet1">
    <w:name w:val="Bullet1"/>
    <w:basedOn w:val="Normal"/>
    <w:qFormat/>
    <w:rsid w:val="00E10095"/>
    <w:pPr>
      <w:spacing w:after="240" w:line="360" w:lineRule="auto"/>
    </w:pPr>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00621">
      <w:bodyDiv w:val="1"/>
      <w:marLeft w:val="0"/>
      <w:marRight w:val="0"/>
      <w:marTop w:val="0"/>
      <w:marBottom w:val="0"/>
      <w:divBdr>
        <w:top w:val="none" w:sz="0" w:space="0" w:color="auto"/>
        <w:left w:val="none" w:sz="0" w:space="0" w:color="auto"/>
        <w:bottom w:val="none" w:sz="0" w:space="0" w:color="auto"/>
        <w:right w:val="none" w:sz="0" w:space="0" w:color="auto"/>
      </w:divBdr>
    </w:div>
    <w:div w:id="179054955">
      <w:bodyDiv w:val="1"/>
      <w:marLeft w:val="0"/>
      <w:marRight w:val="0"/>
      <w:marTop w:val="0"/>
      <w:marBottom w:val="0"/>
      <w:divBdr>
        <w:top w:val="none" w:sz="0" w:space="0" w:color="auto"/>
        <w:left w:val="none" w:sz="0" w:space="0" w:color="auto"/>
        <w:bottom w:val="none" w:sz="0" w:space="0" w:color="auto"/>
        <w:right w:val="none" w:sz="0" w:space="0" w:color="auto"/>
      </w:divBdr>
    </w:div>
    <w:div w:id="375549382">
      <w:bodyDiv w:val="1"/>
      <w:marLeft w:val="0"/>
      <w:marRight w:val="0"/>
      <w:marTop w:val="0"/>
      <w:marBottom w:val="0"/>
      <w:divBdr>
        <w:top w:val="none" w:sz="0" w:space="0" w:color="auto"/>
        <w:left w:val="none" w:sz="0" w:space="0" w:color="auto"/>
        <w:bottom w:val="none" w:sz="0" w:space="0" w:color="auto"/>
        <w:right w:val="none" w:sz="0" w:space="0" w:color="auto"/>
      </w:divBdr>
    </w:div>
    <w:div w:id="926228703">
      <w:bodyDiv w:val="1"/>
      <w:marLeft w:val="0"/>
      <w:marRight w:val="0"/>
      <w:marTop w:val="0"/>
      <w:marBottom w:val="0"/>
      <w:divBdr>
        <w:top w:val="none" w:sz="0" w:space="0" w:color="auto"/>
        <w:left w:val="none" w:sz="0" w:space="0" w:color="auto"/>
        <w:bottom w:val="none" w:sz="0" w:space="0" w:color="auto"/>
        <w:right w:val="none" w:sz="0" w:space="0" w:color="auto"/>
      </w:divBdr>
    </w:div>
    <w:div w:id="180665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customXml" Target="/customXML/item2.xml" Id="R9983029c522a498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47F8C6E9653A46AE92F4B64865514EA6" version="1.0.0">
  <systemFields>
    <field name="Objective-Id">
      <value order="0">A3518903</value>
    </field>
    <field name="Objective-Title">
      <value order="0">C131 Part A - Attachment 21 - List of exhibited schedules</value>
    </field>
    <field name="Objective-Description">
      <value order="0"/>
    </field>
    <field name="Objective-CreationStamp">
      <value order="0">2021-03-31T06:14:14Z</value>
    </field>
    <field name="Objective-IsApproved">
      <value order="0">false</value>
    </field>
    <field name="Objective-IsPublished">
      <value order="0">false</value>
    </field>
    <field name="Objective-DatePublished">
      <value order="0"/>
    </field>
    <field name="Objective-ModificationStamp">
      <value order="0">2021-03-31T06:18:01Z</value>
    </field>
    <field name="Objective-Owner">
      <value order="0">Johann Du Preez</value>
    </field>
    <field name="Objective-Path">
      <value order="0">Objective Global Folder:.Strategy Economy and Sustainability:Landuse and Development:Amendments C100 - C200:Amendment C131 - PPF and New Residential Zones:16. Panel:0.6 - Part A and B submissions</value>
    </field>
    <field name="Objective-Parent">
      <value order="0">0.6 - Part A and B submissions</value>
    </field>
    <field name="Objective-State">
      <value order="0">Being Drafted</value>
    </field>
    <field name="Objective-VersionId">
      <value order="0">vA5491587</value>
    </field>
    <field name="Objective-Version">
      <value order="0">0.1</value>
    </field>
    <field name="Objective-VersionNumber">
      <value order="0">1</value>
    </field>
    <field name="Objective-VersionComment">
      <value order="0"/>
    </field>
    <field name="Objective-FileNumber">
      <value order="0">qA235724</value>
    </field>
    <field name="Objective-Classification">
      <value order="0"/>
    </field>
    <field name="Objective-Caveats">
      <value order="0"/>
    </field>
  </systemFields>
  <catalogues>
    <catalogue name="Document Type Catalogue" type="type" ori="id:cA13">
      <field name="Objective-Business Unit">
        <value order="0"/>
      </field>
      <field name="Objective-Document Type">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47F8C6E9653A46AE92F4B64865514EA6"/>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1298</Words>
  <Characters>7404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sion by</vt:lpstr>
    </vt:vector>
  </TitlesOfParts>
  <Company>Hobsons Bay City Council</Company>
  <LinksUpToDate>false</LinksUpToDate>
  <CharactersWithSpaces>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sion by</dc:title>
  <dc:subject>Part A – Submission by the Planning Authority</dc:subject>
  <dc:creator>Craig Birch</dc:creator>
  <cp:keywords/>
  <dc:description/>
  <cp:lastModifiedBy>Johann Du Preez</cp:lastModifiedBy>
  <cp:revision>3</cp:revision>
  <dcterms:created xsi:type="dcterms:W3CDTF">2021-03-31T05:14:00Z</dcterms:created>
  <dcterms:modified xsi:type="dcterms:W3CDTF">2021-03-31T05:17:00Z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A3518903</vt:lpwstr>
  </property>
  <property fmtid="{D5CDD505-2E9C-101B-9397-08002B2CF9AE}" pid="4" name="Objective-Title">
    <vt:lpwstr>C131 Part A - Attachment 21 - List of exhibited schedules</vt:lpwstr>
  </property>
  <property fmtid="{D5CDD505-2E9C-101B-9397-08002B2CF9AE}" pid="5" name="Objective-Description">
    <vt:lpwstr/>
  </property>
  <property fmtid="{D5CDD505-2E9C-101B-9397-08002B2CF9AE}" pid="6" name="Objective-CreationStamp">
    <vt:filetime>2021-03-31T06:14:14Z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2021-03-31T06:18:01Z</vt:filetime>
  </property>
  <property fmtid="{D5CDD505-2E9C-101B-9397-08002B2CF9AE}" pid="11" name="Objective-Owner">
    <vt:lpwstr>Johann Du Preez</vt:lpwstr>
  </property>
  <property fmtid="{D5CDD505-2E9C-101B-9397-08002B2CF9AE}" pid="12" name="Objective-Path">
    <vt:lpwstr>Objective Global Folder:.Strategy Economy and Sustainability:Landuse and Development:Amendments C100 - C200:Amendment C131 - PPF and New Residential Zones:16. Panel:0.6 - Part A and B submissions</vt:lpwstr>
  </property>
  <property fmtid="{D5CDD505-2E9C-101B-9397-08002B2CF9AE}" pid="13" name="Objective-Parent">
    <vt:lpwstr>0.6 - Part A and B submissions</vt:lpwstr>
  </property>
  <property fmtid="{D5CDD505-2E9C-101B-9397-08002B2CF9AE}" pid="14" name="Objective-State">
    <vt:lpwstr>Being Drafted</vt:lpwstr>
  </property>
  <property fmtid="{D5CDD505-2E9C-101B-9397-08002B2CF9AE}" pid="15" name="Objective-VersionId">
    <vt:lpwstr>vA5491587</vt:lpwstr>
  </property>
  <property fmtid="{D5CDD505-2E9C-101B-9397-08002B2CF9AE}" pid="16" name="Objective-Version">
    <vt:lpwstr>0.1</vt:lpwstr>
  </property>
  <property fmtid="{D5CDD505-2E9C-101B-9397-08002B2CF9AE}" pid="17" name="Objective-VersionNumber">
    <vt:r8>1</vt:r8>
  </property>
  <property fmtid="{D5CDD505-2E9C-101B-9397-08002B2CF9AE}" pid="18" name="Objective-VersionComment">
    <vt:lpwstr/>
  </property>
  <property fmtid="{D5CDD505-2E9C-101B-9397-08002B2CF9AE}" pid="19" name="Objective-FileNumber">
    <vt:lpwstr>qA235724</vt:lpwstr>
  </property>
  <property fmtid="{D5CDD505-2E9C-101B-9397-08002B2CF9AE}" pid="20" name="Objective-Classification">
    <vt:lpwstr/>
  </property>
  <property fmtid="{D5CDD505-2E9C-101B-9397-08002B2CF9AE}" pid="21" name="Objective-Caveats">
    <vt:lpwstr/>
  </property>
  <property fmtid="{D5CDD505-2E9C-101B-9397-08002B2CF9AE}" pid="22" name="Objective-Business Unit">
    <vt:lpwstr/>
  </property>
  <property fmtid="{D5CDD505-2E9C-101B-9397-08002B2CF9AE}" pid="23" name="Objective-Document Type">
    <vt:lpwstr/>
  </property>
  <property fmtid="{D5CDD505-2E9C-101B-9397-08002B2CF9AE}" pid="24" name="Objective-Comment">
    <vt:lpwstr/>
  </property>
  <property fmtid="{D5CDD505-2E9C-101B-9397-08002B2CF9AE}" pid="25" name="Objective-Business Unit [system]">
    <vt:lpwstr/>
  </property>
  <property fmtid="{D5CDD505-2E9C-101B-9397-08002B2CF9AE}" pid="26" name="Objective-Document Type [system]">
    <vt:lpwstr/>
  </property>
</Properties>
</file>