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DC6F4" w14:textId="279CFC17" w:rsidR="00CE0AED" w:rsidRDefault="00CE0AED" w:rsidP="00CE0AED">
      <w:pPr>
        <w:pStyle w:val="mainTitle"/>
        <w:pBdr>
          <w:bottom w:val="none" w:sz="0" w:space="0" w:color="auto"/>
        </w:pBdr>
        <w:spacing w:before="240"/>
        <w:rPr>
          <w:noProof w:val="0"/>
          <w:szCs w:val="22"/>
          <w:lang w:val="en-AU"/>
        </w:rPr>
      </w:pPr>
      <w:bookmarkStart w:id="0" w:name="_Hlk67049501"/>
      <w:r>
        <w:rPr>
          <w:noProof w:val="0"/>
          <w:szCs w:val="22"/>
          <w:lang w:val="en-AU"/>
        </w:rPr>
        <w:t>CHRONOLOGY OF EVENTS</w:t>
      </w:r>
    </w:p>
    <w:bookmarkEnd w:id="0"/>
    <w:p w14:paraId="4C7FD233" w14:textId="77777777" w:rsidR="00CE0AED" w:rsidRPr="00CE0AED" w:rsidRDefault="00CE0AED" w:rsidP="00CE0A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45ABC" w:rsidRPr="00CE0AED" w14:paraId="0CC7E45A" w14:textId="77777777" w:rsidTr="005414D0">
        <w:tc>
          <w:tcPr>
            <w:tcW w:w="2122" w:type="dxa"/>
            <w:shd w:val="clear" w:color="auto" w:fill="D9D9D9" w:themeFill="background1" w:themeFillShade="D9"/>
          </w:tcPr>
          <w:p w14:paraId="671B3669" w14:textId="43947D26" w:rsidR="00945ABC" w:rsidRPr="00CE0AED" w:rsidRDefault="005414D0" w:rsidP="00CE0AED">
            <w:pPr>
              <w:jc w:val="center"/>
              <w:rPr>
                <w:b/>
                <w:bCs/>
                <w:sz w:val="28"/>
                <w:szCs w:val="28"/>
              </w:rPr>
            </w:pPr>
            <w:r w:rsidRPr="00CE0AED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1A03545B" w14:textId="0E32F111" w:rsidR="00945ABC" w:rsidRPr="00CE0AED" w:rsidRDefault="00CE0AED" w:rsidP="00CE0AED">
            <w:pPr>
              <w:jc w:val="center"/>
              <w:rPr>
                <w:b/>
                <w:bCs/>
                <w:sz w:val="28"/>
                <w:szCs w:val="28"/>
              </w:rPr>
            </w:pPr>
            <w:r w:rsidRPr="00CE0AED">
              <w:rPr>
                <w:b/>
                <w:bCs/>
                <w:sz w:val="28"/>
                <w:szCs w:val="28"/>
              </w:rPr>
              <w:t>Event</w:t>
            </w:r>
          </w:p>
        </w:tc>
      </w:tr>
      <w:tr w:rsidR="006D1597" w14:paraId="3032C487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7E30D8F6" w14:textId="23088D46" w:rsidR="006D1597" w:rsidRDefault="006D1597" w:rsidP="00EA7AB8">
            <w:r>
              <w:t>1 Jul 2013</w:t>
            </w:r>
          </w:p>
        </w:tc>
        <w:tc>
          <w:tcPr>
            <w:tcW w:w="6894" w:type="dxa"/>
          </w:tcPr>
          <w:p w14:paraId="33005E6A" w14:textId="1E437385" w:rsidR="006D1597" w:rsidRDefault="006D1597" w:rsidP="00EA7AB8">
            <w:r>
              <w:t>V8 introduced the Residential Growth Zone</w:t>
            </w:r>
            <w:r w:rsidR="00DA7D00">
              <w:t xml:space="preserve"> (RGZ)</w:t>
            </w:r>
            <w:r>
              <w:t>, General Residential Zone</w:t>
            </w:r>
            <w:r w:rsidR="00DA7D00">
              <w:t xml:space="preserve"> (GRZ)</w:t>
            </w:r>
            <w:r>
              <w:t xml:space="preserve"> and Neighbourhood Residential Zone </w:t>
            </w:r>
            <w:r w:rsidR="00DA7D00">
              <w:t xml:space="preserve">(NRZ) </w:t>
            </w:r>
            <w:r>
              <w:t xml:space="preserve">into the </w:t>
            </w:r>
            <w:r w:rsidRPr="000602E1">
              <w:t>Victoria Planning Provisions</w:t>
            </w:r>
            <w:r w:rsidR="00DA7D00">
              <w:t xml:space="preserve"> (VPP)</w:t>
            </w:r>
            <w:r>
              <w:t>.</w:t>
            </w:r>
          </w:p>
        </w:tc>
      </w:tr>
      <w:tr w:rsidR="006D1597" w14:paraId="3B647C9D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4166751B" w14:textId="575DC428" w:rsidR="006D1597" w:rsidRDefault="006D1597" w:rsidP="00EA7AB8">
            <w:r>
              <w:t>13 Aug 2013</w:t>
            </w:r>
          </w:p>
        </w:tc>
        <w:tc>
          <w:tcPr>
            <w:tcW w:w="6894" w:type="dxa"/>
          </w:tcPr>
          <w:p w14:paraId="12A76899" w14:textId="38154952" w:rsidR="006D1597" w:rsidRPr="006D1597" w:rsidRDefault="006D1597" w:rsidP="007B4BF5">
            <w:pPr>
              <w:autoSpaceDE w:val="0"/>
              <w:autoSpaceDN w:val="0"/>
              <w:adjustRightInd w:val="0"/>
            </w:pPr>
            <w:r w:rsidRPr="006D1597">
              <w:t xml:space="preserve">Council </w:t>
            </w:r>
            <w:r w:rsidR="007B4BF5">
              <w:t xml:space="preserve">resolved to </w:t>
            </w:r>
            <w:r w:rsidRPr="006D1597">
              <w:t xml:space="preserve">prepare an implementation plan </w:t>
            </w:r>
            <w:r w:rsidR="007B4BF5" w:rsidRPr="007B4BF5">
              <w:t>to strategically justify and inform application of the new zones</w:t>
            </w:r>
            <w:r w:rsidRPr="006D1597">
              <w:t>.</w:t>
            </w:r>
          </w:p>
        </w:tc>
      </w:tr>
      <w:tr w:rsidR="00C42DFB" w14:paraId="048BC4A2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57697EE5" w14:textId="1D2ACC68" w:rsidR="00C42DFB" w:rsidRPr="00C42DFB" w:rsidRDefault="004A1FC8" w:rsidP="00EA7AB8">
            <w:pPr>
              <w:rPr>
                <w:highlight w:val="yellow"/>
              </w:rPr>
            </w:pPr>
            <w:r>
              <w:t xml:space="preserve">13 </w:t>
            </w:r>
            <w:r w:rsidR="00C42DFB" w:rsidRPr="0031412D">
              <w:t>Jun 2014</w:t>
            </w:r>
          </w:p>
        </w:tc>
        <w:tc>
          <w:tcPr>
            <w:tcW w:w="6894" w:type="dxa"/>
          </w:tcPr>
          <w:p w14:paraId="053605DE" w14:textId="4728AC3B" w:rsidR="00C42DFB" w:rsidRPr="006D1597" w:rsidRDefault="00C42DFB" w:rsidP="00EA7AB8">
            <w:pPr>
              <w:rPr>
                <w:lang w:val="en-US"/>
              </w:rPr>
            </w:pPr>
            <w:r w:rsidRPr="0031412D">
              <w:rPr>
                <w:lang w:val="en-US"/>
              </w:rPr>
              <w:t xml:space="preserve">GC09 applies GRZ to all </w:t>
            </w:r>
            <w:r w:rsidR="004A1FC8">
              <w:rPr>
                <w:lang w:val="en-US"/>
              </w:rPr>
              <w:t xml:space="preserve">Residential 1 Zone and Residential 2 Zone </w:t>
            </w:r>
            <w:r w:rsidRPr="0031412D">
              <w:rPr>
                <w:lang w:val="en-US"/>
              </w:rPr>
              <w:t>land in Hobsons Bay</w:t>
            </w:r>
            <w:r w:rsidR="0031412D">
              <w:rPr>
                <w:lang w:val="en-US"/>
              </w:rPr>
              <w:t xml:space="preserve"> as an interim measure to </w:t>
            </w:r>
            <w:bookmarkStart w:id="1" w:name="_Hlk67064531"/>
            <w:r w:rsidR="0031412D">
              <w:rPr>
                <w:lang w:val="en-US"/>
              </w:rPr>
              <w:t>enable Council time to complete strategic work.</w:t>
            </w:r>
            <w:bookmarkEnd w:id="1"/>
          </w:p>
        </w:tc>
      </w:tr>
      <w:tr w:rsidR="006D1597" w14:paraId="02234832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5481F573" w14:textId="46E5C6DC" w:rsidR="006D1597" w:rsidRDefault="000602E1" w:rsidP="00EA7AB8">
            <w:r>
              <w:t xml:space="preserve">25 </w:t>
            </w:r>
            <w:r w:rsidR="006D1597">
              <w:t xml:space="preserve">Aug – </w:t>
            </w:r>
            <w:r>
              <w:t xml:space="preserve">3 </w:t>
            </w:r>
            <w:r w:rsidR="006D1597">
              <w:t>Oct 2014</w:t>
            </w:r>
          </w:p>
        </w:tc>
        <w:tc>
          <w:tcPr>
            <w:tcW w:w="6894" w:type="dxa"/>
          </w:tcPr>
          <w:p w14:paraId="18B2102D" w14:textId="0EA20EE5" w:rsidR="006D1597" w:rsidRDefault="00587E92" w:rsidP="00EA7AB8">
            <w:r>
              <w:t xml:space="preserve">First round of consultation to inform the </w:t>
            </w:r>
            <w:r w:rsidR="006D1597" w:rsidRPr="006D1597">
              <w:t>Neighbourhood Character Study (NCS) and Activity Centre Strategy (ACS)</w:t>
            </w:r>
            <w:r>
              <w:t xml:space="preserve">. Included </w:t>
            </w:r>
            <w:r w:rsidR="00C34661">
              <w:t>9</w:t>
            </w:r>
            <w:r>
              <w:t xml:space="preserve"> drop</w:t>
            </w:r>
            <w:r w:rsidR="00F12FE1">
              <w:t>-</w:t>
            </w:r>
            <w:r>
              <w:t>in sessions</w:t>
            </w:r>
            <w:r w:rsidR="003A08FD">
              <w:t>.</w:t>
            </w:r>
          </w:p>
        </w:tc>
      </w:tr>
      <w:tr w:rsidR="00945ABC" w14:paraId="5425BB6B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1D0F3C61" w14:textId="7AD21516" w:rsidR="00945ABC" w:rsidRDefault="00487074" w:rsidP="00EA7AB8">
            <w:r>
              <w:t xml:space="preserve">27 </w:t>
            </w:r>
            <w:r w:rsidR="00B87736">
              <w:t>Oct</w:t>
            </w:r>
            <w:r w:rsidR="00CE0AED">
              <w:t xml:space="preserve"> -</w:t>
            </w:r>
            <w:r>
              <w:t xml:space="preserve">5 </w:t>
            </w:r>
            <w:r w:rsidR="00B87736">
              <w:t>Dec 2014</w:t>
            </w:r>
          </w:p>
        </w:tc>
        <w:tc>
          <w:tcPr>
            <w:tcW w:w="6894" w:type="dxa"/>
          </w:tcPr>
          <w:p w14:paraId="6C8C0EEE" w14:textId="7A220ED3" w:rsidR="00945ABC" w:rsidRDefault="00487074" w:rsidP="00EA7AB8">
            <w:r>
              <w:t xml:space="preserve">First round of consultation </w:t>
            </w:r>
            <w:r w:rsidR="00587E92">
              <w:t>to inform the</w:t>
            </w:r>
            <w:r>
              <w:t xml:space="preserve"> </w:t>
            </w:r>
            <w:r w:rsidR="00B87736" w:rsidRPr="00B87736">
              <w:t>Housing Strateg</w:t>
            </w:r>
            <w:r w:rsidR="00587E92">
              <w:t>y</w:t>
            </w:r>
            <w:r w:rsidR="00B82ACC">
              <w:t xml:space="preserve"> (386 responses received)</w:t>
            </w:r>
            <w:r w:rsidR="003A08FD">
              <w:t>.</w:t>
            </w:r>
          </w:p>
        </w:tc>
      </w:tr>
      <w:tr w:rsidR="00C42DFB" w14:paraId="4A76FDD2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1287B308" w14:textId="1DD4F2C8" w:rsidR="00C42DFB" w:rsidRDefault="00C42DFB" w:rsidP="00EA7AB8">
            <w:r>
              <w:t>Jan 2017</w:t>
            </w:r>
          </w:p>
        </w:tc>
        <w:tc>
          <w:tcPr>
            <w:tcW w:w="6894" w:type="dxa"/>
          </w:tcPr>
          <w:p w14:paraId="7AEBFDDD" w14:textId="079FB83B" w:rsidR="00C42DFB" w:rsidRDefault="00C42DFB" w:rsidP="00EA7AB8">
            <w:r>
              <w:t>D</w:t>
            </w:r>
            <w:r w:rsidR="00065F0B">
              <w:t>raft reports / zones presented to Council</w:t>
            </w:r>
            <w:r w:rsidR="003A08FD">
              <w:t>.</w:t>
            </w:r>
          </w:p>
        </w:tc>
      </w:tr>
      <w:tr w:rsidR="00B87736" w14:paraId="151800BC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4B5E0CD0" w14:textId="0004C762" w:rsidR="00B87736" w:rsidRDefault="00B87736" w:rsidP="00EA7AB8">
            <w:r>
              <w:t>Mar 2017</w:t>
            </w:r>
          </w:p>
        </w:tc>
        <w:tc>
          <w:tcPr>
            <w:tcW w:w="6894" w:type="dxa"/>
          </w:tcPr>
          <w:p w14:paraId="721E7268" w14:textId="156B616A" w:rsidR="00B87736" w:rsidRDefault="00B87736" w:rsidP="00EA7AB8">
            <w:r>
              <w:t>Plan Melbourne 2017-2050 released</w:t>
            </w:r>
            <w:r w:rsidR="003A08FD">
              <w:t>.</w:t>
            </w:r>
          </w:p>
        </w:tc>
      </w:tr>
      <w:tr w:rsidR="00B87736" w14:paraId="6CA48F92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27986B07" w14:textId="16027B86" w:rsidR="00B87736" w:rsidRDefault="00826099" w:rsidP="00EA7AB8">
            <w:r>
              <w:t xml:space="preserve">27 </w:t>
            </w:r>
            <w:r w:rsidR="00B87736">
              <w:t>Mar 2017</w:t>
            </w:r>
          </w:p>
        </w:tc>
        <w:tc>
          <w:tcPr>
            <w:tcW w:w="6894" w:type="dxa"/>
          </w:tcPr>
          <w:p w14:paraId="1F336ADB" w14:textId="279BCB16" w:rsidR="00B77513" w:rsidRDefault="00B87736" w:rsidP="00B77513">
            <w:r w:rsidRPr="00B87736">
              <w:t xml:space="preserve">Amendment VC110 </w:t>
            </w:r>
            <w:r w:rsidR="00826099">
              <w:t>reformed</w:t>
            </w:r>
            <w:r w:rsidRPr="00B87736">
              <w:t xml:space="preserve"> the new zones</w:t>
            </w:r>
            <w:r w:rsidR="00B77513">
              <w:t xml:space="preserve"> Amendment VC110 in response to the </w:t>
            </w:r>
            <w:r w:rsidR="00B77513" w:rsidRPr="00B77513">
              <w:t>Managing Residential Development Advisory</w:t>
            </w:r>
            <w:r w:rsidR="00B77513">
              <w:t xml:space="preserve"> Committee’s</w:t>
            </w:r>
          </w:p>
          <w:p w14:paraId="1D4EA1DE" w14:textId="56FB5F1A" w:rsidR="00B87736" w:rsidRDefault="00B77513" w:rsidP="00B77513">
            <w:r>
              <w:t>Recommendations.</w:t>
            </w:r>
          </w:p>
        </w:tc>
      </w:tr>
      <w:tr w:rsidR="00227F4D" w14:paraId="0835B193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7D36C2BB" w14:textId="25A60010" w:rsidR="00227F4D" w:rsidRDefault="00227F4D" w:rsidP="00EA7AB8">
            <w:r>
              <w:t>Dec 2017</w:t>
            </w:r>
          </w:p>
        </w:tc>
        <w:tc>
          <w:tcPr>
            <w:tcW w:w="6894" w:type="dxa"/>
          </w:tcPr>
          <w:p w14:paraId="38D96CF4" w14:textId="53B6DFD7" w:rsidR="00227F4D" w:rsidRPr="00B87736" w:rsidRDefault="00227F4D" w:rsidP="00227F4D">
            <w:r>
              <w:t>The Housing Strategy Background Report updated to align the strategy with the new 2016 ABS Census Data.</w:t>
            </w:r>
          </w:p>
        </w:tc>
      </w:tr>
      <w:tr w:rsidR="00826099" w14:paraId="47F4F8B3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4CD24555" w14:textId="099C45C3" w:rsidR="00826099" w:rsidRDefault="00826099" w:rsidP="00EA7AB8">
            <w:r>
              <w:t>15 May 2018</w:t>
            </w:r>
          </w:p>
        </w:tc>
        <w:tc>
          <w:tcPr>
            <w:tcW w:w="6894" w:type="dxa"/>
          </w:tcPr>
          <w:p w14:paraId="39BAA266" w14:textId="152E85F8" w:rsidR="00826099" w:rsidRDefault="00826099" w:rsidP="00227F4D">
            <w:r>
              <w:t xml:space="preserve">Amendment VC143 </w:t>
            </w:r>
            <w:bookmarkStart w:id="2" w:name="_Hlk67065476"/>
            <w:r>
              <w:t xml:space="preserve">introduced improvements to the new residential zones. </w:t>
            </w:r>
            <w:r w:rsidRPr="00826099">
              <w:t xml:space="preserve">The improvements change the definition and operation of the minimum garden area requirement, including clarifying exemptions in the </w:t>
            </w:r>
            <w:r w:rsidR="00DA7D00">
              <w:t>NRZ</w:t>
            </w:r>
            <w:r w:rsidRPr="00826099">
              <w:t xml:space="preserve"> and the G</w:t>
            </w:r>
            <w:r w:rsidR="00DA7D00">
              <w:t>RZ</w:t>
            </w:r>
            <w:r w:rsidRPr="00826099">
              <w:t xml:space="preserve"> and introducing permit requirements for certain commercial land uses in the </w:t>
            </w:r>
            <w:r w:rsidR="00DA7D00">
              <w:t>RGZ</w:t>
            </w:r>
            <w:r>
              <w:t>.</w:t>
            </w:r>
            <w:bookmarkEnd w:id="2"/>
          </w:p>
        </w:tc>
      </w:tr>
      <w:tr w:rsidR="00945ABC" w14:paraId="4425EB4C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32F90125" w14:textId="6C5D2B58" w:rsidR="00945ABC" w:rsidRDefault="00945ABC" w:rsidP="00EA7AB8">
            <w:r>
              <w:t>31 Jul 2018</w:t>
            </w:r>
          </w:p>
        </w:tc>
        <w:tc>
          <w:tcPr>
            <w:tcW w:w="6894" w:type="dxa"/>
          </w:tcPr>
          <w:p w14:paraId="15ADB5D8" w14:textId="5384D8E7" w:rsidR="00945ABC" w:rsidRDefault="00945ABC" w:rsidP="00EA7AB8">
            <w:r>
              <w:t xml:space="preserve">Amendment VC148 introduces the </w:t>
            </w:r>
            <w:r w:rsidR="00622757">
              <w:t>new integrated PPF</w:t>
            </w:r>
            <w:r w:rsidR="003A08FD">
              <w:t>.</w:t>
            </w:r>
          </w:p>
        </w:tc>
      </w:tr>
      <w:tr w:rsidR="004B6676" w14:paraId="2DB90A0A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7DB5A24A" w14:textId="251D8ADF" w:rsidR="004B6676" w:rsidRDefault="00627376" w:rsidP="00EA7AB8">
            <w:r>
              <w:t xml:space="preserve">26 Nov </w:t>
            </w:r>
            <w:r w:rsidR="004B6676">
              <w:t>2018</w:t>
            </w:r>
          </w:p>
        </w:tc>
        <w:tc>
          <w:tcPr>
            <w:tcW w:w="6894" w:type="dxa"/>
          </w:tcPr>
          <w:p w14:paraId="3C1FDEF4" w14:textId="56DE7C51" w:rsidR="004B6676" w:rsidRPr="00627376" w:rsidRDefault="004B6676" w:rsidP="00EA7AB8">
            <w:r w:rsidRPr="00627376">
              <w:t>Planning Scheme Review</w:t>
            </w:r>
            <w:r w:rsidR="00627376" w:rsidRPr="00627376">
              <w:t xml:space="preserve"> 2018</w:t>
            </w:r>
            <w:r w:rsidR="00627376">
              <w:t xml:space="preserve"> completed. </w:t>
            </w:r>
            <w:r w:rsidR="00177ECE">
              <w:t>R</w:t>
            </w:r>
            <w:r w:rsidR="00627376">
              <w:t>ecommendations</w:t>
            </w:r>
            <w:r w:rsidR="00177ECE">
              <w:t xml:space="preserve"> include reviewing </w:t>
            </w:r>
            <w:r w:rsidR="00627376" w:rsidRPr="00627376">
              <w:t xml:space="preserve">the MSS and </w:t>
            </w:r>
            <w:r w:rsidR="00170D0F">
              <w:t xml:space="preserve">translating it </w:t>
            </w:r>
            <w:r w:rsidR="00627376">
              <w:t>into the PPF.</w:t>
            </w:r>
          </w:p>
        </w:tc>
      </w:tr>
      <w:tr w:rsidR="00945ABC" w14:paraId="131ACD89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5134896E" w14:textId="33FC032B" w:rsidR="00945ABC" w:rsidRDefault="00065F0B" w:rsidP="00EA7AB8">
            <w:r>
              <w:t>11 Sept 2018</w:t>
            </w:r>
          </w:p>
        </w:tc>
        <w:tc>
          <w:tcPr>
            <w:tcW w:w="6894" w:type="dxa"/>
          </w:tcPr>
          <w:p w14:paraId="67892344" w14:textId="56A0EE18" w:rsidR="00945ABC" w:rsidRDefault="00065F0B" w:rsidP="00EA7AB8">
            <w:r>
              <w:t xml:space="preserve">Council </w:t>
            </w:r>
            <w:r w:rsidR="00A0499E">
              <w:t xml:space="preserve">resolves to </w:t>
            </w:r>
            <w:r>
              <w:t>undertake community consultation</w:t>
            </w:r>
            <w:r w:rsidR="00A0499E">
              <w:t xml:space="preserve"> on draft new residential zones and supporting strategic documents</w:t>
            </w:r>
            <w:r w:rsidR="003A08FD">
              <w:t>.</w:t>
            </w:r>
          </w:p>
        </w:tc>
      </w:tr>
      <w:tr w:rsidR="00A0499E" w14:paraId="2F408F6E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0037EF04" w14:textId="71F041B6" w:rsidR="00A0499E" w:rsidRDefault="005414D0" w:rsidP="00EA7AB8">
            <w:r>
              <w:t xml:space="preserve">17 </w:t>
            </w:r>
            <w:r w:rsidR="00A0499E">
              <w:t>Sept</w:t>
            </w:r>
            <w:r w:rsidR="00CE0AED">
              <w:t xml:space="preserve"> - </w:t>
            </w:r>
            <w:r>
              <w:t xml:space="preserve">9 </w:t>
            </w:r>
            <w:r w:rsidR="00A0499E">
              <w:t>Nov 2018</w:t>
            </w:r>
          </w:p>
        </w:tc>
        <w:tc>
          <w:tcPr>
            <w:tcW w:w="6894" w:type="dxa"/>
          </w:tcPr>
          <w:p w14:paraId="7CD9167C" w14:textId="76DAFA8A" w:rsidR="00A0499E" w:rsidRDefault="00A0499E" w:rsidP="00EA7AB8">
            <w:r>
              <w:t xml:space="preserve">Community consultation </w:t>
            </w:r>
            <w:r w:rsidR="00622757">
              <w:t>of</w:t>
            </w:r>
            <w:r>
              <w:t xml:space="preserve"> the draft new residential zones and supporting strategic documents</w:t>
            </w:r>
            <w:r w:rsidR="003A08FD">
              <w:t>.</w:t>
            </w:r>
          </w:p>
        </w:tc>
      </w:tr>
      <w:tr w:rsidR="00617779" w14:paraId="48BF3A00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7A9B6330" w14:textId="63DA3714" w:rsidR="00617779" w:rsidRPr="00945ABC" w:rsidRDefault="00617779" w:rsidP="00EA7AB8">
            <w:r>
              <w:t>11 Dec 2018</w:t>
            </w:r>
          </w:p>
        </w:tc>
        <w:tc>
          <w:tcPr>
            <w:tcW w:w="6894" w:type="dxa"/>
          </w:tcPr>
          <w:p w14:paraId="3639214C" w14:textId="49CA6895" w:rsidR="00617779" w:rsidRPr="00945ABC" w:rsidRDefault="00617779" w:rsidP="00EA7AB8">
            <w:r>
              <w:t>Council considered submissions and resolved to receive a further report to consider adoption of the new residential zones and supporting strategies</w:t>
            </w:r>
            <w:r w:rsidR="003A08FD">
              <w:t>.</w:t>
            </w:r>
          </w:p>
        </w:tc>
      </w:tr>
      <w:tr w:rsidR="00627376" w14:paraId="60F3E260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4320BE6B" w14:textId="4BF33A1A" w:rsidR="00627376" w:rsidRDefault="00627376" w:rsidP="00EA7AB8">
            <w:r>
              <w:t>July 2019</w:t>
            </w:r>
          </w:p>
        </w:tc>
        <w:tc>
          <w:tcPr>
            <w:tcW w:w="6894" w:type="dxa"/>
          </w:tcPr>
          <w:p w14:paraId="5A35E736" w14:textId="177E9205" w:rsidR="00627376" w:rsidRDefault="00627376" w:rsidP="00EA7AB8">
            <w:r>
              <w:t>Review of MSS completed</w:t>
            </w:r>
            <w:r w:rsidR="00177ECE">
              <w:t>. Used as basis for PPF translation.</w:t>
            </w:r>
          </w:p>
        </w:tc>
      </w:tr>
      <w:tr w:rsidR="00945ABC" w14:paraId="362ABBC2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064BAE7B" w14:textId="2D251706" w:rsidR="00945ABC" w:rsidRDefault="00945ABC" w:rsidP="00EA7AB8">
            <w:r w:rsidRPr="00945ABC">
              <w:t>13 Aug 2019</w:t>
            </w:r>
          </w:p>
        </w:tc>
        <w:tc>
          <w:tcPr>
            <w:tcW w:w="6894" w:type="dxa"/>
          </w:tcPr>
          <w:p w14:paraId="20715085" w14:textId="751AFE0F" w:rsidR="00945ABC" w:rsidRDefault="00945ABC" w:rsidP="00EA7AB8">
            <w:r w:rsidRPr="00945ABC">
              <w:t>Council adopt</w:t>
            </w:r>
            <w:r w:rsidR="00AE37D5">
              <w:t>s</w:t>
            </w:r>
            <w:r w:rsidRPr="00945ABC">
              <w:t xml:space="preserve"> new residential zones and background strategic work</w:t>
            </w:r>
            <w:r w:rsidR="003A08FD">
              <w:t>.</w:t>
            </w:r>
          </w:p>
        </w:tc>
      </w:tr>
      <w:tr w:rsidR="005414D0" w14:paraId="77C8A996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73B871D5" w14:textId="19091FA4" w:rsidR="005414D0" w:rsidRDefault="005414D0" w:rsidP="001F3764">
            <w:r>
              <w:t>29 Oct 2019</w:t>
            </w:r>
          </w:p>
        </w:tc>
        <w:tc>
          <w:tcPr>
            <w:tcW w:w="6894" w:type="dxa"/>
          </w:tcPr>
          <w:p w14:paraId="05F3DF42" w14:textId="27916ECD" w:rsidR="005414D0" w:rsidRDefault="005414D0" w:rsidP="001F3764">
            <w:r>
              <w:t>PPF translation inception meeting – DELWP, Tract and Council</w:t>
            </w:r>
            <w:r w:rsidR="003A08FD">
              <w:t>.</w:t>
            </w:r>
          </w:p>
        </w:tc>
      </w:tr>
      <w:tr w:rsidR="00945ABC" w14:paraId="04DFF789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2071D938" w14:textId="0BE168D0" w:rsidR="00945ABC" w:rsidRDefault="00945ABC" w:rsidP="00EA7AB8">
            <w:r>
              <w:t>19 Dec 2019</w:t>
            </w:r>
          </w:p>
        </w:tc>
        <w:tc>
          <w:tcPr>
            <w:tcW w:w="6894" w:type="dxa"/>
          </w:tcPr>
          <w:p w14:paraId="4AA707B8" w14:textId="115470F0" w:rsidR="00945ABC" w:rsidRDefault="00945ABC" w:rsidP="00EA7AB8">
            <w:r>
              <w:t xml:space="preserve">Planning Practice Note 90 </w:t>
            </w:r>
            <w:r w:rsidR="005414D0">
              <w:t>and 91 released by State Government</w:t>
            </w:r>
            <w:r w:rsidR="003A08FD">
              <w:t>.</w:t>
            </w:r>
          </w:p>
        </w:tc>
      </w:tr>
      <w:tr w:rsidR="00945ABC" w14:paraId="428E6B5D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50DFEA5A" w14:textId="617EBDD1" w:rsidR="00945ABC" w:rsidRDefault="00945ABC" w:rsidP="00EA7AB8">
            <w:r>
              <w:t>3 Jul 2020</w:t>
            </w:r>
          </w:p>
        </w:tc>
        <w:tc>
          <w:tcPr>
            <w:tcW w:w="6894" w:type="dxa"/>
          </w:tcPr>
          <w:p w14:paraId="392E5C0F" w14:textId="6F7D5F15" w:rsidR="00945ABC" w:rsidRDefault="00945ABC" w:rsidP="00EA7AB8">
            <w:r>
              <w:t>DEL</w:t>
            </w:r>
            <w:r w:rsidR="007B1F3C">
              <w:t xml:space="preserve">WP </w:t>
            </w:r>
            <w:r w:rsidR="005414D0">
              <w:t xml:space="preserve">advises </w:t>
            </w:r>
            <w:r w:rsidR="007B1F3C">
              <w:t>changes required</w:t>
            </w:r>
            <w:r w:rsidR="00AE37D5">
              <w:t xml:space="preserve"> to the </w:t>
            </w:r>
            <w:r w:rsidR="005414D0">
              <w:t xml:space="preserve">adopted </w:t>
            </w:r>
            <w:r w:rsidR="00AE37D5">
              <w:t xml:space="preserve">Housing Strategy </w:t>
            </w:r>
            <w:r w:rsidR="005A7577">
              <w:t>to align with PPN90 and 91</w:t>
            </w:r>
            <w:r w:rsidR="003A08FD">
              <w:t>.</w:t>
            </w:r>
          </w:p>
        </w:tc>
      </w:tr>
      <w:tr w:rsidR="005A7577" w14:paraId="2B4F49C9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324572CA" w14:textId="5644D4FD" w:rsidR="005A7577" w:rsidRDefault="005A7577" w:rsidP="00EA7AB8">
            <w:r>
              <w:t>29 Jul 2020</w:t>
            </w:r>
          </w:p>
        </w:tc>
        <w:tc>
          <w:tcPr>
            <w:tcW w:w="6894" w:type="dxa"/>
          </w:tcPr>
          <w:p w14:paraId="2D51845A" w14:textId="37B595CD" w:rsidR="005A7577" w:rsidRDefault="005A7577" w:rsidP="00EA7AB8">
            <w:r>
              <w:t>Final draft PPF translation provided to Council</w:t>
            </w:r>
            <w:r w:rsidR="005414D0">
              <w:t xml:space="preserve"> by Tract</w:t>
            </w:r>
            <w:r w:rsidR="003A08FD">
              <w:t>.</w:t>
            </w:r>
          </w:p>
        </w:tc>
      </w:tr>
      <w:tr w:rsidR="005A7577" w14:paraId="5B01B3F6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12F0DB6D" w14:textId="632F7409" w:rsidR="005A7577" w:rsidRDefault="005A7577" w:rsidP="00EA7AB8">
            <w:r>
              <w:t>11 Aug 2020</w:t>
            </w:r>
          </w:p>
        </w:tc>
        <w:tc>
          <w:tcPr>
            <w:tcW w:w="6894" w:type="dxa"/>
          </w:tcPr>
          <w:p w14:paraId="3D1EA08A" w14:textId="4C40A5F9" w:rsidR="005A7577" w:rsidRDefault="005A7577" w:rsidP="00EA7AB8">
            <w:r>
              <w:t xml:space="preserve">Council readopts updated Housing Strategy, </w:t>
            </w:r>
            <w:r w:rsidR="00DA7D00">
              <w:t>NCS</w:t>
            </w:r>
            <w:r>
              <w:t>, A</w:t>
            </w:r>
            <w:r w:rsidR="00DA7D00">
              <w:t>CS</w:t>
            </w:r>
            <w:r>
              <w:t xml:space="preserve">, </w:t>
            </w:r>
            <w:r w:rsidR="00AD63E7">
              <w:t xml:space="preserve">New Residential Zones and </w:t>
            </w:r>
            <w:r>
              <w:t>draft PPF</w:t>
            </w:r>
            <w:r w:rsidR="00AD63E7">
              <w:t>.</w:t>
            </w:r>
            <w:r w:rsidR="005414D0">
              <w:t xml:space="preserve"> Resolves to request authorisation</w:t>
            </w:r>
            <w:r w:rsidR="003A08FD">
              <w:t>.</w:t>
            </w:r>
          </w:p>
        </w:tc>
      </w:tr>
      <w:tr w:rsidR="00AD63E7" w14:paraId="5126D525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3793BCDF" w14:textId="4014BC16" w:rsidR="00AD63E7" w:rsidRDefault="00AD63E7" w:rsidP="00EA7AB8">
            <w:r>
              <w:t>8 Sept 2020</w:t>
            </w:r>
          </w:p>
        </w:tc>
        <w:tc>
          <w:tcPr>
            <w:tcW w:w="6894" w:type="dxa"/>
          </w:tcPr>
          <w:p w14:paraId="39C18C0E" w14:textId="672C2CC1" w:rsidR="00AD63E7" w:rsidRDefault="00AD63E7" w:rsidP="00EA7AB8">
            <w:r>
              <w:t>Council adopt the Urban Forest Strategy 2020</w:t>
            </w:r>
            <w:r w:rsidR="00DA7D00">
              <w:t xml:space="preserve"> (UFS)</w:t>
            </w:r>
            <w:r w:rsidR="003A08FD">
              <w:t>.</w:t>
            </w:r>
          </w:p>
        </w:tc>
      </w:tr>
      <w:tr w:rsidR="00AD63E7" w14:paraId="753BCAD0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0312E4BA" w14:textId="12344E85" w:rsidR="00AD63E7" w:rsidRDefault="00AD63E7" w:rsidP="00EA7AB8">
            <w:r>
              <w:t>9 Sept 2020</w:t>
            </w:r>
          </w:p>
        </w:tc>
        <w:tc>
          <w:tcPr>
            <w:tcW w:w="6894" w:type="dxa"/>
          </w:tcPr>
          <w:p w14:paraId="06DD5CBF" w14:textId="4ECBF058" w:rsidR="00AD63E7" w:rsidRDefault="00AD63E7" w:rsidP="00EA7AB8">
            <w:r>
              <w:t>CEO, in accordance with Council resolution of 11 August 2020, approved a minor amendment to the adopted draft Hobsons Bay Planning Schem</w:t>
            </w:r>
            <w:r w:rsidR="005414D0">
              <w:t>e</w:t>
            </w:r>
            <w:r>
              <w:t xml:space="preserve"> to </w:t>
            </w:r>
            <w:r>
              <w:lastRenderedPageBreak/>
              <w:t>incorporate references to the adopted U</w:t>
            </w:r>
            <w:r w:rsidR="00DA7D00">
              <w:t>FS</w:t>
            </w:r>
            <w:r>
              <w:t xml:space="preserve"> prior to seeking Ministerial authorisation to exhibit </w:t>
            </w:r>
            <w:r w:rsidR="00177ECE">
              <w:t>C131</w:t>
            </w:r>
            <w:r>
              <w:t>.</w:t>
            </w:r>
          </w:p>
        </w:tc>
      </w:tr>
      <w:tr w:rsidR="00945ABC" w14:paraId="1B8BAEC7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59F13FF6" w14:textId="3499FF98" w:rsidR="00945ABC" w:rsidRDefault="00AE37D5" w:rsidP="00EA7AB8">
            <w:r>
              <w:lastRenderedPageBreak/>
              <w:t>11 Sept 2020</w:t>
            </w:r>
          </w:p>
        </w:tc>
        <w:tc>
          <w:tcPr>
            <w:tcW w:w="6894" w:type="dxa"/>
          </w:tcPr>
          <w:p w14:paraId="172FB050" w14:textId="24BDC626" w:rsidR="00945ABC" w:rsidRDefault="00AE37D5" w:rsidP="00EA7AB8">
            <w:r>
              <w:t>Council lodges request for authorisation to prepare and exhibit Amendment C131</w:t>
            </w:r>
            <w:r w:rsidR="003A08FD">
              <w:t>.</w:t>
            </w:r>
          </w:p>
        </w:tc>
      </w:tr>
      <w:tr w:rsidR="00945ABC" w14:paraId="4B3694FC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31B4B4D3" w14:textId="6642DB8B" w:rsidR="00945ABC" w:rsidRDefault="00ED4343" w:rsidP="00EA7AB8">
            <w:r>
              <w:t>23 Sept 2020</w:t>
            </w:r>
          </w:p>
        </w:tc>
        <w:tc>
          <w:tcPr>
            <w:tcW w:w="6894" w:type="dxa"/>
          </w:tcPr>
          <w:p w14:paraId="7C89BD78" w14:textId="5F762354" w:rsidR="00945ABC" w:rsidRDefault="00ED4343" w:rsidP="00EA7AB8">
            <w:r>
              <w:t>DELWP letter to Council advising the need for further review of the authorisation request</w:t>
            </w:r>
            <w:r w:rsidR="003A08FD">
              <w:t>.</w:t>
            </w:r>
          </w:p>
        </w:tc>
      </w:tr>
      <w:tr w:rsidR="00AE37D5" w14:paraId="5E24A755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53687B06" w14:textId="4153079C" w:rsidR="00AE37D5" w:rsidRDefault="00AD63E7" w:rsidP="00EA7AB8">
            <w:r>
              <w:t>9 Oct 2020</w:t>
            </w:r>
          </w:p>
        </w:tc>
        <w:tc>
          <w:tcPr>
            <w:tcW w:w="6894" w:type="dxa"/>
          </w:tcPr>
          <w:p w14:paraId="6A446D5E" w14:textId="65372959" w:rsidR="00AE37D5" w:rsidRDefault="00AD63E7" w:rsidP="00EA7AB8">
            <w:r w:rsidRPr="00AD63E7">
              <w:t xml:space="preserve">Amendment VC169 changes the </w:t>
            </w:r>
            <w:r>
              <w:t>PPF</w:t>
            </w:r>
            <w:r w:rsidRPr="00AD63E7">
              <w:t xml:space="preserve"> to help direct balanced outcomes for housing growth and built form, while also clarifying and consolidating housing policy.</w:t>
            </w:r>
          </w:p>
        </w:tc>
      </w:tr>
      <w:tr w:rsidR="00AE37D5" w14:paraId="3C866C56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342B72AA" w14:textId="36A9002C" w:rsidR="00AE37D5" w:rsidRDefault="00AE37D5" w:rsidP="00EA7AB8">
            <w:r>
              <w:t>14 Oct 2020</w:t>
            </w:r>
          </w:p>
        </w:tc>
        <w:tc>
          <w:tcPr>
            <w:tcW w:w="6894" w:type="dxa"/>
          </w:tcPr>
          <w:p w14:paraId="01DAA8B2" w14:textId="523630B8" w:rsidR="00AE37D5" w:rsidRDefault="00AD63E7" w:rsidP="00EA7AB8">
            <w:r>
              <w:t>Authorisation subject to conditions</w:t>
            </w:r>
            <w:r w:rsidR="003A08FD">
              <w:t>.</w:t>
            </w:r>
          </w:p>
        </w:tc>
      </w:tr>
      <w:tr w:rsidR="00757705" w14:paraId="666EA4DB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2CEDBC70" w14:textId="6E3E00C3" w:rsidR="00757705" w:rsidRDefault="00757705" w:rsidP="00EA7AB8">
            <w:r>
              <w:t>21 Oct 2020</w:t>
            </w:r>
          </w:p>
        </w:tc>
        <w:tc>
          <w:tcPr>
            <w:tcW w:w="6894" w:type="dxa"/>
          </w:tcPr>
          <w:p w14:paraId="3762DABF" w14:textId="03F7EF92" w:rsidR="00757705" w:rsidRDefault="00757705" w:rsidP="00EA7AB8">
            <w:r>
              <w:t>Meeting with DELWP to discuss authorisation conditions</w:t>
            </w:r>
            <w:r w:rsidR="003A08FD">
              <w:t>.</w:t>
            </w:r>
          </w:p>
        </w:tc>
      </w:tr>
      <w:tr w:rsidR="00AE37D5" w14:paraId="519F9F58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47F967F4" w14:textId="7E4000DF" w:rsidR="00AE37D5" w:rsidRDefault="00AE37D5" w:rsidP="00EA7AB8">
            <w:r>
              <w:t>11 Nov 2020</w:t>
            </w:r>
          </w:p>
        </w:tc>
        <w:tc>
          <w:tcPr>
            <w:tcW w:w="6894" w:type="dxa"/>
          </w:tcPr>
          <w:p w14:paraId="4615E930" w14:textId="59AE56A8" w:rsidR="00AE37D5" w:rsidRDefault="001504AC" w:rsidP="00EA7AB8">
            <w:r>
              <w:t>Exhibition commences</w:t>
            </w:r>
            <w:r w:rsidR="003A08FD">
              <w:t>.</w:t>
            </w:r>
          </w:p>
        </w:tc>
      </w:tr>
      <w:tr w:rsidR="00AE37D5" w14:paraId="0EE7A3C6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6529573C" w14:textId="33EAF3D0" w:rsidR="00AE37D5" w:rsidRDefault="001504AC" w:rsidP="00EA7AB8">
            <w:r>
              <w:t>23 Dec 2020</w:t>
            </w:r>
          </w:p>
        </w:tc>
        <w:tc>
          <w:tcPr>
            <w:tcW w:w="6894" w:type="dxa"/>
          </w:tcPr>
          <w:p w14:paraId="7E048823" w14:textId="103F41BA" w:rsidR="00AE37D5" w:rsidRDefault="001504AC" w:rsidP="00EA7AB8">
            <w:r>
              <w:t>Exhibition closing date</w:t>
            </w:r>
            <w:r w:rsidR="003A08FD">
              <w:t>.</w:t>
            </w:r>
          </w:p>
        </w:tc>
      </w:tr>
      <w:tr w:rsidR="00AE37D5" w14:paraId="0CF9EDDD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168D5791" w14:textId="07A6C961" w:rsidR="00AE37D5" w:rsidRDefault="00AD63E7" w:rsidP="00EA7AB8">
            <w:r>
              <w:t>5 Mar 2021</w:t>
            </w:r>
          </w:p>
        </w:tc>
        <w:tc>
          <w:tcPr>
            <w:tcW w:w="6894" w:type="dxa"/>
          </w:tcPr>
          <w:p w14:paraId="47651C42" w14:textId="65C9361D" w:rsidR="00AE37D5" w:rsidRDefault="00AD63E7" w:rsidP="00EA7AB8">
            <w:r>
              <w:t xml:space="preserve">CEO, under delegation of the Council (resolution of 11 August 2020) approved to request the Minister for Planning to appoint an independent planning panel to consider </w:t>
            </w:r>
            <w:r w:rsidR="005414D0">
              <w:t>all</w:t>
            </w:r>
            <w:r>
              <w:t xml:space="preserve"> the submissions received</w:t>
            </w:r>
            <w:r w:rsidR="003A08FD">
              <w:t>.</w:t>
            </w:r>
          </w:p>
        </w:tc>
      </w:tr>
      <w:tr w:rsidR="008724C0" w14:paraId="0E9A199A" w14:textId="77777777" w:rsidTr="00CE0AED">
        <w:tc>
          <w:tcPr>
            <w:tcW w:w="2122" w:type="dxa"/>
            <w:shd w:val="clear" w:color="auto" w:fill="D9D9D9" w:themeFill="background1" w:themeFillShade="D9"/>
          </w:tcPr>
          <w:p w14:paraId="7FB8BAA8" w14:textId="6870E385" w:rsidR="008724C0" w:rsidRDefault="008724C0" w:rsidP="00EA7AB8">
            <w:r>
              <w:t>14 Apr 2021</w:t>
            </w:r>
          </w:p>
        </w:tc>
        <w:tc>
          <w:tcPr>
            <w:tcW w:w="6894" w:type="dxa"/>
          </w:tcPr>
          <w:p w14:paraId="6CDDA89A" w14:textId="732DE38E" w:rsidR="008724C0" w:rsidRDefault="008724C0" w:rsidP="00EA7AB8">
            <w:r>
              <w:t>Directions Hearing</w:t>
            </w:r>
            <w:r w:rsidR="003A08FD">
              <w:t>.</w:t>
            </w:r>
          </w:p>
        </w:tc>
      </w:tr>
    </w:tbl>
    <w:p w14:paraId="36E3AFDB" w14:textId="14EC0403" w:rsidR="00EA7AB8" w:rsidRDefault="00EA7AB8" w:rsidP="00EA7AB8"/>
    <w:sectPr w:rsidR="00EA7AB8" w:rsidSect="002A10E4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B9B6B" w14:textId="77777777" w:rsidR="00E7087F" w:rsidRDefault="00E7087F" w:rsidP="00D27453">
      <w:pPr>
        <w:spacing w:after="0" w:line="240" w:lineRule="auto"/>
      </w:pPr>
      <w:r>
        <w:separator/>
      </w:r>
    </w:p>
  </w:endnote>
  <w:endnote w:type="continuationSeparator" w:id="0">
    <w:p w14:paraId="5ACA1AE3" w14:textId="77777777" w:rsidR="00E7087F" w:rsidRDefault="00E7087F" w:rsidP="00D2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FC14D" w14:textId="77777777" w:rsidR="00E7087F" w:rsidRDefault="00E7087F" w:rsidP="00D27453">
      <w:pPr>
        <w:spacing w:after="0" w:line="240" w:lineRule="auto"/>
      </w:pPr>
      <w:r>
        <w:separator/>
      </w:r>
    </w:p>
  </w:footnote>
  <w:footnote w:type="continuationSeparator" w:id="0">
    <w:p w14:paraId="33E2BE79" w14:textId="77777777" w:rsidR="00E7087F" w:rsidRDefault="00E7087F" w:rsidP="00D2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D47FA9"/>
    <w:multiLevelType w:val="hybridMultilevel"/>
    <w:tmpl w:val="C87247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A7633"/>
    <w:multiLevelType w:val="singleLevel"/>
    <w:tmpl w:val="0C09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</w:abstractNum>
  <w:abstractNum w:abstractNumId="2" w15:restartNumberingAfterBreak="0">
    <w:nsid w:val="0264530F"/>
    <w:multiLevelType w:val="hybridMultilevel"/>
    <w:tmpl w:val="3760CE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7B5D"/>
    <w:multiLevelType w:val="hybridMultilevel"/>
    <w:tmpl w:val="2C6EEB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162AE"/>
    <w:multiLevelType w:val="hybridMultilevel"/>
    <w:tmpl w:val="914A42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2350F"/>
    <w:multiLevelType w:val="hybridMultilevel"/>
    <w:tmpl w:val="93C8E11C"/>
    <w:lvl w:ilvl="0" w:tplc="E5DCCEF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F6E72"/>
    <w:multiLevelType w:val="hybridMultilevel"/>
    <w:tmpl w:val="8084BB84"/>
    <w:lvl w:ilvl="0" w:tplc="BD98E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41FC0"/>
    <w:multiLevelType w:val="hybridMultilevel"/>
    <w:tmpl w:val="935A88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442D26"/>
    <w:multiLevelType w:val="hybridMultilevel"/>
    <w:tmpl w:val="5554E8DE"/>
    <w:lvl w:ilvl="0" w:tplc="BE9A8F9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5A4D0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81458E"/>
    <w:multiLevelType w:val="hybridMultilevel"/>
    <w:tmpl w:val="5178EF0C"/>
    <w:lvl w:ilvl="0" w:tplc="37F28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622CA"/>
    <w:multiLevelType w:val="multilevel"/>
    <w:tmpl w:val="892CFE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pStyle w:val="Numpara2"/>
      <w:lvlText w:val="%1.%2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b w:val="0"/>
      </w:rPr>
    </w:lvl>
    <w:lvl w:ilvl="2">
      <w:start w:val="1"/>
      <w:numFmt w:val="decimal"/>
      <w:pStyle w:val="Numpara3"/>
      <w:lvlText w:val="%1.%2.%3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Numpara4"/>
      <w:lvlText w:val="%1.%2.%3.%4"/>
      <w:lvlJc w:val="left"/>
      <w:pPr>
        <w:tabs>
          <w:tab w:val="num" w:pos="3686"/>
        </w:tabs>
        <w:ind w:left="3686" w:hanging="1134"/>
      </w:p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13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56" w:hanging="708"/>
      </w:pPr>
    </w:lvl>
  </w:abstractNum>
  <w:abstractNum w:abstractNumId="11" w15:restartNumberingAfterBreak="0">
    <w:nsid w:val="1F8EC837"/>
    <w:multiLevelType w:val="hybridMultilevel"/>
    <w:tmpl w:val="49A54F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1D77F86"/>
    <w:multiLevelType w:val="hybridMultilevel"/>
    <w:tmpl w:val="1A407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B6BB5"/>
    <w:multiLevelType w:val="hybridMultilevel"/>
    <w:tmpl w:val="8E1078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1094"/>
    <w:multiLevelType w:val="hybridMultilevel"/>
    <w:tmpl w:val="5B5E78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EB7282"/>
    <w:multiLevelType w:val="hybridMultilevel"/>
    <w:tmpl w:val="4934A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B6877"/>
    <w:multiLevelType w:val="hybridMultilevel"/>
    <w:tmpl w:val="C3949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4ABF"/>
    <w:multiLevelType w:val="hybridMultilevel"/>
    <w:tmpl w:val="8916B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B72A5"/>
    <w:multiLevelType w:val="hybridMultilevel"/>
    <w:tmpl w:val="618E11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06721"/>
    <w:multiLevelType w:val="hybridMultilevel"/>
    <w:tmpl w:val="6F50B0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05F39"/>
    <w:multiLevelType w:val="hybridMultilevel"/>
    <w:tmpl w:val="4DB480C2"/>
    <w:lvl w:ilvl="0" w:tplc="FAA091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93581"/>
    <w:multiLevelType w:val="hybridMultilevel"/>
    <w:tmpl w:val="B00688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710184"/>
    <w:multiLevelType w:val="hybridMultilevel"/>
    <w:tmpl w:val="9E989C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B64D0B"/>
    <w:multiLevelType w:val="hybridMultilevel"/>
    <w:tmpl w:val="BBD465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0373E"/>
    <w:multiLevelType w:val="hybridMultilevel"/>
    <w:tmpl w:val="E8A6E2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92460"/>
    <w:multiLevelType w:val="hybridMultilevel"/>
    <w:tmpl w:val="34D3D8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B320E67"/>
    <w:multiLevelType w:val="hybridMultilevel"/>
    <w:tmpl w:val="7722D70E"/>
    <w:lvl w:ilvl="0" w:tplc="BE9A8F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C7E53"/>
    <w:multiLevelType w:val="hybridMultilevel"/>
    <w:tmpl w:val="ED8A5E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FB48AD"/>
    <w:multiLevelType w:val="hybridMultilevel"/>
    <w:tmpl w:val="FB6047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232E19"/>
    <w:multiLevelType w:val="hybridMultilevel"/>
    <w:tmpl w:val="E8664272"/>
    <w:lvl w:ilvl="0" w:tplc="969EB394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7362C"/>
    <w:multiLevelType w:val="hybridMultilevel"/>
    <w:tmpl w:val="DE96BBA0"/>
    <w:lvl w:ilvl="0" w:tplc="94D8C58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5D87"/>
    <w:multiLevelType w:val="hybridMultilevel"/>
    <w:tmpl w:val="8FF4EC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20F3B"/>
    <w:multiLevelType w:val="hybridMultilevel"/>
    <w:tmpl w:val="EF368A68"/>
    <w:lvl w:ilvl="0" w:tplc="94D8C58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E4D60"/>
    <w:multiLevelType w:val="hybridMultilevel"/>
    <w:tmpl w:val="2B4425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234AC"/>
    <w:multiLevelType w:val="hybridMultilevel"/>
    <w:tmpl w:val="B49429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453BC"/>
    <w:multiLevelType w:val="hybridMultilevel"/>
    <w:tmpl w:val="C3C01B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FA5A27"/>
    <w:multiLevelType w:val="hybridMultilevel"/>
    <w:tmpl w:val="4530AB38"/>
    <w:lvl w:ilvl="0" w:tplc="F758B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B97107"/>
    <w:multiLevelType w:val="hybridMultilevel"/>
    <w:tmpl w:val="E6A01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6342D"/>
    <w:multiLevelType w:val="hybridMultilevel"/>
    <w:tmpl w:val="ABB4B48A"/>
    <w:lvl w:ilvl="0" w:tplc="E5DCCEF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00B8C"/>
    <w:multiLevelType w:val="hybridMultilevel"/>
    <w:tmpl w:val="40AEB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7127E"/>
    <w:multiLevelType w:val="hybridMultilevel"/>
    <w:tmpl w:val="FB9403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2B4775"/>
    <w:multiLevelType w:val="hybridMultilevel"/>
    <w:tmpl w:val="25DCC268"/>
    <w:lvl w:ilvl="0" w:tplc="0E58A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691299"/>
    <w:multiLevelType w:val="hybridMultilevel"/>
    <w:tmpl w:val="5A3ACC96"/>
    <w:lvl w:ilvl="0" w:tplc="BE9A8F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E29A7"/>
    <w:multiLevelType w:val="hybridMultilevel"/>
    <w:tmpl w:val="7228D914"/>
    <w:lvl w:ilvl="0" w:tplc="94D8C58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5759D"/>
    <w:multiLevelType w:val="hybridMultilevel"/>
    <w:tmpl w:val="AE9C0D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247DB"/>
    <w:multiLevelType w:val="hybridMultilevel"/>
    <w:tmpl w:val="156A0418"/>
    <w:lvl w:ilvl="0" w:tplc="94D8C58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25AF5"/>
    <w:multiLevelType w:val="hybridMultilevel"/>
    <w:tmpl w:val="25DCC268"/>
    <w:lvl w:ilvl="0" w:tplc="0E58A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6748E9"/>
    <w:multiLevelType w:val="hybridMultilevel"/>
    <w:tmpl w:val="FB6047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8"/>
  </w:num>
  <w:num w:numId="5">
    <w:abstractNumId w:val="19"/>
  </w:num>
  <w:num w:numId="6">
    <w:abstractNumId w:val="10"/>
  </w:num>
  <w:num w:numId="7">
    <w:abstractNumId w:val="1"/>
  </w:num>
  <w:num w:numId="8">
    <w:abstractNumId w:val="2"/>
  </w:num>
  <w:num w:numId="9">
    <w:abstractNumId w:val="44"/>
  </w:num>
  <w:num w:numId="10">
    <w:abstractNumId w:val="20"/>
  </w:num>
  <w:num w:numId="11">
    <w:abstractNumId w:val="41"/>
  </w:num>
  <w:num w:numId="12">
    <w:abstractNumId w:val="36"/>
  </w:num>
  <w:num w:numId="13">
    <w:abstractNumId w:val="9"/>
  </w:num>
  <w:num w:numId="14">
    <w:abstractNumId w:val="46"/>
  </w:num>
  <w:num w:numId="15">
    <w:abstractNumId w:val="40"/>
  </w:num>
  <w:num w:numId="16">
    <w:abstractNumId w:val="3"/>
  </w:num>
  <w:num w:numId="17">
    <w:abstractNumId w:val="47"/>
  </w:num>
  <w:num w:numId="18">
    <w:abstractNumId w:val="28"/>
  </w:num>
  <w:num w:numId="19">
    <w:abstractNumId w:val="27"/>
  </w:num>
  <w:num w:numId="20">
    <w:abstractNumId w:val="35"/>
  </w:num>
  <w:num w:numId="21">
    <w:abstractNumId w:val="16"/>
  </w:num>
  <w:num w:numId="22">
    <w:abstractNumId w:val="13"/>
  </w:num>
  <w:num w:numId="23">
    <w:abstractNumId w:val="15"/>
  </w:num>
  <w:num w:numId="24">
    <w:abstractNumId w:val="24"/>
  </w:num>
  <w:num w:numId="25">
    <w:abstractNumId w:val="11"/>
  </w:num>
  <w:num w:numId="26">
    <w:abstractNumId w:val="45"/>
  </w:num>
  <w:num w:numId="27">
    <w:abstractNumId w:val="32"/>
  </w:num>
  <w:num w:numId="28">
    <w:abstractNumId w:val="21"/>
  </w:num>
  <w:num w:numId="29">
    <w:abstractNumId w:val="7"/>
  </w:num>
  <w:num w:numId="30">
    <w:abstractNumId w:val="43"/>
  </w:num>
  <w:num w:numId="31">
    <w:abstractNumId w:val="25"/>
  </w:num>
  <w:num w:numId="32">
    <w:abstractNumId w:val="4"/>
  </w:num>
  <w:num w:numId="33">
    <w:abstractNumId w:val="14"/>
  </w:num>
  <w:num w:numId="34">
    <w:abstractNumId w:val="30"/>
  </w:num>
  <w:num w:numId="35">
    <w:abstractNumId w:val="29"/>
  </w:num>
  <w:num w:numId="36">
    <w:abstractNumId w:val="38"/>
  </w:num>
  <w:num w:numId="37">
    <w:abstractNumId w:val="5"/>
  </w:num>
  <w:num w:numId="38">
    <w:abstractNumId w:val="37"/>
  </w:num>
  <w:num w:numId="39">
    <w:abstractNumId w:val="12"/>
  </w:num>
  <w:num w:numId="40">
    <w:abstractNumId w:val="33"/>
  </w:num>
  <w:num w:numId="41">
    <w:abstractNumId w:val="31"/>
  </w:num>
  <w:num w:numId="42">
    <w:abstractNumId w:val="17"/>
  </w:num>
  <w:num w:numId="43">
    <w:abstractNumId w:val="34"/>
  </w:num>
  <w:num w:numId="44">
    <w:abstractNumId w:val="39"/>
  </w:num>
  <w:num w:numId="45">
    <w:abstractNumId w:val="26"/>
  </w:num>
  <w:num w:numId="46">
    <w:abstractNumId w:val="42"/>
  </w:num>
  <w:num w:numId="47">
    <w:abstractNumId w:val="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16"/>
    <w:rsid w:val="00023E0F"/>
    <w:rsid w:val="0003764B"/>
    <w:rsid w:val="00046390"/>
    <w:rsid w:val="000602E1"/>
    <w:rsid w:val="00065C0B"/>
    <w:rsid w:val="00065F0B"/>
    <w:rsid w:val="000907E8"/>
    <w:rsid w:val="0009768E"/>
    <w:rsid w:val="000B6E79"/>
    <w:rsid w:val="000C5CCA"/>
    <w:rsid w:val="000E167F"/>
    <w:rsid w:val="000E5DC9"/>
    <w:rsid w:val="00110D6E"/>
    <w:rsid w:val="001130BE"/>
    <w:rsid w:val="00116169"/>
    <w:rsid w:val="001416F0"/>
    <w:rsid w:val="00141F66"/>
    <w:rsid w:val="001504AC"/>
    <w:rsid w:val="00165C3C"/>
    <w:rsid w:val="00165DB6"/>
    <w:rsid w:val="00170D0F"/>
    <w:rsid w:val="00174AC8"/>
    <w:rsid w:val="00177ECE"/>
    <w:rsid w:val="00185102"/>
    <w:rsid w:val="001B0F56"/>
    <w:rsid w:val="001D0C64"/>
    <w:rsid w:val="001D3DE6"/>
    <w:rsid w:val="001E447B"/>
    <w:rsid w:val="001F3D47"/>
    <w:rsid w:val="00201977"/>
    <w:rsid w:val="002070F7"/>
    <w:rsid w:val="002142BC"/>
    <w:rsid w:val="002229A0"/>
    <w:rsid w:val="00227F4D"/>
    <w:rsid w:val="002405DE"/>
    <w:rsid w:val="00247DD9"/>
    <w:rsid w:val="0025246C"/>
    <w:rsid w:val="00257E31"/>
    <w:rsid w:val="00286F66"/>
    <w:rsid w:val="00290589"/>
    <w:rsid w:val="002A10E4"/>
    <w:rsid w:val="002B0F30"/>
    <w:rsid w:val="002B5743"/>
    <w:rsid w:val="002C05AD"/>
    <w:rsid w:val="002C3869"/>
    <w:rsid w:val="002D4020"/>
    <w:rsid w:val="0031412D"/>
    <w:rsid w:val="003143CE"/>
    <w:rsid w:val="0032428D"/>
    <w:rsid w:val="00330139"/>
    <w:rsid w:val="00346400"/>
    <w:rsid w:val="00356E2A"/>
    <w:rsid w:val="003663E0"/>
    <w:rsid w:val="003748F2"/>
    <w:rsid w:val="00393FBD"/>
    <w:rsid w:val="00394C6D"/>
    <w:rsid w:val="00397DF8"/>
    <w:rsid w:val="003A08FD"/>
    <w:rsid w:val="003A1309"/>
    <w:rsid w:val="003A7348"/>
    <w:rsid w:val="003B0D69"/>
    <w:rsid w:val="003B6EBE"/>
    <w:rsid w:val="003B7938"/>
    <w:rsid w:val="003C7C74"/>
    <w:rsid w:val="003D4985"/>
    <w:rsid w:val="00407450"/>
    <w:rsid w:val="00414C55"/>
    <w:rsid w:val="00457661"/>
    <w:rsid w:val="00471016"/>
    <w:rsid w:val="00485654"/>
    <w:rsid w:val="00487074"/>
    <w:rsid w:val="004871C3"/>
    <w:rsid w:val="004A1FC8"/>
    <w:rsid w:val="004B0B81"/>
    <w:rsid w:val="004B6676"/>
    <w:rsid w:val="004E5961"/>
    <w:rsid w:val="004F2F83"/>
    <w:rsid w:val="004F51D0"/>
    <w:rsid w:val="0050054B"/>
    <w:rsid w:val="00503C45"/>
    <w:rsid w:val="00530888"/>
    <w:rsid w:val="0053281D"/>
    <w:rsid w:val="005414D0"/>
    <w:rsid w:val="005436CF"/>
    <w:rsid w:val="00587E92"/>
    <w:rsid w:val="005958E8"/>
    <w:rsid w:val="005A7577"/>
    <w:rsid w:val="005A77F5"/>
    <w:rsid w:val="005B6D6C"/>
    <w:rsid w:val="005D7B7C"/>
    <w:rsid w:val="006059B2"/>
    <w:rsid w:val="00617492"/>
    <w:rsid w:val="00617779"/>
    <w:rsid w:val="00622757"/>
    <w:rsid w:val="006244DF"/>
    <w:rsid w:val="0062501F"/>
    <w:rsid w:val="00627376"/>
    <w:rsid w:val="0062767C"/>
    <w:rsid w:val="00632C58"/>
    <w:rsid w:val="006353D8"/>
    <w:rsid w:val="00637DC7"/>
    <w:rsid w:val="00672162"/>
    <w:rsid w:val="00682D67"/>
    <w:rsid w:val="00683539"/>
    <w:rsid w:val="006864F5"/>
    <w:rsid w:val="00696DA6"/>
    <w:rsid w:val="006A6629"/>
    <w:rsid w:val="006D1597"/>
    <w:rsid w:val="006D775E"/>
    <w:rsid w:val="006E005A"/>
    <w:rsid w:val="006E3088"/>
    <w:rsid w:val="007240E5"/>
    <w:rsid w:val="007249C5"/>
    <w:rsid w:val="007471FB"/>
    <w:rsid w:val="00757705"/>
    <w:rsid w:val="007711E9"/>
    <w:rsid w:val="00771CBD"/>
    <w:rsid w:val="0077304C"/>
    <w:rsid w:val="007810B9"/>
    <w:rsid w:val="0079477F"/>
    <w:rsid w:val="007A0373"/>
    <w:rsid w:val="007A21EC"/>
    <w:rsid w:val="007B1F3C"/>
    <w:rsid w:val="007B4B94"/>
    <w:rsid w:val="007B4BF5"/>
    <w:rsid w:val="008214DB"/>
    <w:rsid w:val="00825354"/>
    <w:rsid w:val="00826099"/>
    <w:rsid w:val="00836B7B"/>
    <w:rsid w:val="008447B2"/>
    <w:rsid w:val="008724C0"/>
    <w:rsid w:val="008941DD"/>
    <w:rsid w:val="008D23A9"/>
    <w:rsid w:val="008F1D66"/>
    <w:rsid w:val="00922181"/>
    <w:rsid w:val="009350CF"/>
    <w:rsid w:val="00945ABC"/>
    <w:rsid w:val="009647FF"/>
    <w:rsid w:val="00970584"/>
    <w:rsid w:val="00975342"/>
    <w:rsid w:val="00993159"/>
    <w:rsid w:val="00A0499E"/>
    <w:rsid w:val="00A344A5"/>
    <w:rsid w:val="00A500AD"/>
    <w:rsid w:val="00A520E1"/>
    <w:rsid w:val="00A53238"/>
    <w:rsid w:val="00A706DB"/>
    <w:rsid w:val="00A712DC"/>
    <w:rsid w:val="00A76211"/>
    <w:rsid w:val="00A94AA2"/>
    <w:rsid w:val="00A966E7"/>
    <w:rsid w:val="00A96784"/>
    <w:rsid w:val="00AC635D"/>
    <w:rsid w:val="00AD63E7"/>
    <w:rsid w:val="00AE0F7C"/>
    <w:rsid w:val="00AE1531"/>
    <w:rsid w:val="00AE37D5"/>
    <w:rsid w:val="00B012F5"/>
    <w:rsid w:val="00B31351"/>
    <w:rsid w:val="00B36294"/>
    <w:rsid w:val="00B464E2"/>
    <w:rsid w:val="00B50D53"/>
    <w:rsid w:val="00B64F35"/>
    <w:rsid w:val="00B77513"/>
    <w:rsid w:val="00B82ACC"/>
    <w:rsid w:val="00B87736"/>
    <w:rsid w:val="00BA5AD8"/>
    <w:rsid w:val="00BB2225"/>
    <w:rsid w:val="00BB3D4D"/>
    <w:rsid w:val="00BB7ED7"/>
    <w:rsid w:val="00BD2DD5"/>
    <w:rsid w:val="00BF79C2"/>
    <w:rsid w:val="00C101E8"/>
    <w:rsid w:val="00C256BD"/>
    <w:rsid w:val="00C318B2"/>
    <w:rsid w:val="00C34661"/>
    <w:rsid w:val="00C42DFB"/>
    <w:rsid w:val="00C46348"/>
    <w:rsid w:val="00C521F5"/>
    <w:rsid w:val="00C806AE"/>
    <w:rsid w:val="00CC1BA2"/>
    <w:rsid w:val="00CE0AED"/>
    <w:rsid w:val="00CE7239"/>
    <w:rsid w:val="00CF6CB4"/>
    <w:rsid w:val="00D101AC"/>
    <w:rsid w:val="00D12121"/>
    <w:rsid w:val="00D20198"/>
    <w:rsid w:val="00D27453"/>
    <w:rsid w:val="00D72B80"/>
    <w:rsid w:val="00DA7D00"/>
    <w:rsid w:val="00DD197B"/>
    <w:rsid w:val="00DE1137"/>
    <w:rsid w:val="00DE412D"/>
    <w:rsid w:val="00DF3E50"/>
    <w:rsid w:val="00E07EB0"/>
    <w:rsid w:val="00E14660"/>
    <w:rsid w:val="00E24F4C"/>
    <w:rsid w:val="00E34563"/>
    <w:rsid w:val="00E34D0B"/>
    <w:rsid w:val="00E36EE4"/>
    <w:rsid w:val="00E400CD"/>
    <w:rsid w:val="00E40C39"/>
    <w:rsid w:val="00E7087F"/>
    <w:rsid w:val="00E7391A"/>
    <w:rsid w:val="00E73BA0"/>
    <w:rsid w:val="00E767E6"/>
    <w:rsid w:val="00E9388B"/>
    <w:rsid w:val="00EA7AB8"/>
    <w:rsid w:val="00EC04C7"/>
    <w:rsid w:val="00ED4343"/>
    <w:rsid w:val="00ED6D26"/>
    <w:rsid w:val="00EE04AB"/>
    <w:rsid w:val="00EF7435"/>
    <w:rsid w:val="00F05F03"/>
    <w:rsid w:val="00F07D60"/>
    <w:rsid w:val="00F12FE1"/>
    <w:rsid w:val="00F2017C"/>
    <w:rsid w:val="00F3414A"/>
    <w:rsid w:val="00F475E1"/>
    <w:rsid w:val="00F506F0"/>
    <w:rsid w:val="00F6578E"/>
    <w:rsid w:val="00F70D79"/>
    <w:rsid w:val="00F73590"/>
    <w:rsid w:val="00F76DC7"/>
    <w:rsid w:val="00F76EB3"/>
    <w:rsid w:val="00F87204"/>
    <w:rsid w:val="00F8747F"/>
    <w:rsid w:val="00FA0923"/>
    <w:rsid w:val="00FB6B9C"/>
    <w:rsid w:val="00FC110A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78B1"/>
  <w15:chartTrackingRefBased/>
  <w15:docId w15:val="{1450B723-6E50-48BF-A634-27671529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1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7101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7101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7101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65DB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5DB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3013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25354"/>
    <w:pPr>
      <w:spacing w:after="100"/>
      <w:ind w:left="220"/>
    </w:pPr>
  </w:style>
  <w:style w:type="paragraph" w:customStyle="1" w:styleId="Numpara2">
    <w:name w:val="Numpara2"/>
    <w:basedOn w:val="Normal"/>
    <w:rsid w:val="00290589"/>
    <w:pPr>
      <w:numPr>
        <w:ilvl w:val="1"/>
        <w:numId w:val="6"/>
      </w:numPr>
      <w:spacing w:after="240" w:line="360" w:lineRule="auto"/>
    </w:pPr>
    <w:rPr>
      <w:rFonts w:ascii="Arial" w:eastAsia="Times New Roman" w:hAnsi="Arial" w:cs="Times New Roman"/>
    </w:rPr>
  </w:style>
  <w:style w:type="paragraph" w:customStyle="1" w:styleId="Numpara3">
    <w:name w:val="Numpara3"/>
    <w:basedOn w:val="Normal"/>
    <w:rsid w:val="00290589"/>
    <w:pPr>
      <w:numPr>
        <w:ilvl w:val="2"/>
        <w:numId w:val="6"/>
      </w:numPr>
      <w:spacing w:after="240" w:line="240" w:lineRule="auto"/>
    </w:pPr>
    <w:rPr>
      <w:rFonts w:ascii="Arial" w:eastAsia="Times New Roman" w:hAnsi="Arial" w:cs="Times New Roman"/>
    </w:rPr>
  </w:style>
  <w:style w:type="paragraph" w:customStyle="1" w:styleId="Numpara4">
    <w:name w:val="Numpara4"/>
    <w:basedOn w:val="Normal"/>
    <w:rsid w:val="00290589"/>
    <w:pPr>
      <w:numPr>
        <w:ilvl w:val="3"/>
        <w:numId w:val="6"/>
      </w:numPr>
      <w:spacing w:after="240" w:line="240" w:lineRule="auto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4F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0D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53"/>
  </w:style>
  <w:style w:type="paragraph" w:styleId="Footer">
    <w:name w:val="footer"/>
    <w:basedOn w:val="Normal"/>
    <w:link w:val="FooterChar"/>
    <w:uiPriority w:val="99"/>
    <w:unhideWhenUsed/>
    <w:rsid w:val="00D27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53"/>
  </w:style>
  <w:style w:type="paragraph" w:styleId="BalloonText">
    <w:name w:val="Balloon Text"/>
    <w:basedOn w:val="Normal"/>
    <w:link w:val="BalloonTextChar"/>
    <w:uiPriority w:val="99"/>
    <w:semiHidden/>
    <w:unhideWhenUsed/>
    <w:rsid w:val="006A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29"/>
    <w:rPr>
      <w:rFonts w:ascii="Segoe UI" w:hAnsi="Segoe UI" w:cs="Segoe UI"/>
      <w:sz w:val="18"/>
      <w:szCs w:val="18"/>
    </w:rPr>
  </w:style>
  <w:style w:type="paragraph" w:customStyle="1" w:styleId="Numpara1">
    <w:name w:val="Numpara1"/>
    <w:basedOn w:val="Normal"/>
    <w:link w:val="Numpara1Char"/>
    <w:qFormat/>
    <w:rsid w:val="00C318B2"/>
    <w:pPr>
      <w:spacing w:after="240" w:line="360" w:lineRule="auto"/>
    </w:pPr>
    <w:rPr>
      <w:rFonts w:ascii="Arial" w:eastAsia="Times New Roman" w:hAnsi="Arial" w:cs="Times New Roman"/>
    </w:rPr>
  </w:style>
  <w:style w:type="character" w:customStyle="1" w:styleId="Numpara1Char">
    <w:name w:val="Numpara1 Char"/>
    <w:link w:val="Numpara1"/>
    <w:locked/>
    <w:rsid w:val="00C318B2"/>
    <w:rPr>
      <w:rFonts w:ascii="Arial" w:eastAsia="Times New Roman" w:hAnsi="Arial" w:cs="Times New Roman"/>
    </w:rPr>
  </w:style>
  <w:style w:type="paragraph" w:customStyle="1" w:styleId="Default">
    <w:name w:val="Default"/>
    <w:rsid w:val="005A757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0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2E1"/>
    <w:rPr>
      <w:b/>
      <w:bCs/>
      <w:sz w:val="20"/>
      <w:szCs w:val="20"/>
    </w:rPr>
  </w:style>
  <w:style w:type="paragraph" w:customStyle="1" w:styleId="mainTitle">
    <w:name w:val="mainTitle"/>
    <w:next w:val="Normal"/>
    <w:qFormat/>
    <w:rsid w:val="00CE0AED"/>
    <w:pPr>
      <w:pBdr>
        <w:bottom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noProof/>
      <w:sz w:val="3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91ca826c6af742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47F8C6E9653A46AE92F4B64865514EA6" version="1.0.0">
  <systemFields>
    <field name="Objective-Id">
      <value order="0">A3509323</value>
    </field>
    <field name="Objective-Title">
      <value order="0">C131 Part A - Attachment 01 - Chronology of amendment</value>
    </field>
    <field name="Objective-Description">
      <value order="0"/>
    </field>
    <field name="Objective-CreationStamp">
      <value order="0">2021-02-01T06:35:19Z</value>
    </field>
    <field name="Objective-IsApproved">
      <value order="0">false</value>
    </field>
    <field name="Objective-IsPublished">
      <value order="0">true</value>
    </field>
    <field name="Objective-DatePublished">
      <value order="0">2021-04-19T01:03:19Z</value>
    </field>
    <field name="Objective-ModificationStamp">
      <value order="0">2021-04-19T01:03:19Z</value>
    </field>
    <field name="Objective-Owner">
      <value order="0">Johann Du Preez</value>
    </field>
    <field name="Objective-Path">
      <value order="0">Objective Global Folder:.Strategy Economy and Sustainability:Landuse and Development:Amendments C100 - C200:Amendment C131 - PPF and New Residential Zones:16. Panel:0.6 - Part A submission</value>
    </field>
    <field name="Objective-Parent">
      <value order="0">0.6 - Part A submission</value>
    </field>
    <field name="Objective-State">
      <value order="0">Published</value>
    </field>
    <field name="Objective-VersionId">
      <value order="0">vA5504169</value>
    </field>
    <field name="Objective-Version">
      <value order="0">8.0</value>
    </field>
    <field name="Objective-VersionNumber">
      <value order="0">10</value>
    </field>
    <field name="Objective-VersionComment">
      <value order="0"/>
    </field>
    <field name="Objective-FileNumber">
      <value order="0">qA235724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sion by</vt:lpstr>
    </vt:vector>
  </TitlesOfParts>
  <Company>Hobsons Bay City Council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sion by</dc:title>
  <dc:subject>Part A – Submission by the Planning Authority</dc:subject>
  <dc:creator>Craig Birch</dc:creator>
  <cp:keywords/>
  <dc:description/>
  <cp:lastModifiedBy>Johann Du Preez</cp:lastModifiedBy>
  <cp:revision>85</cp:revision>
  <dcterms:created xsi:type="dcterms:W3CDTF">2021-02-01T02:40:00Z</dcterms:created>
  <dcterms:modified xsi:type="dcterms:W3CDTF">2021-04-19T01:03:00Z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A3509323</vt:lpwstr>
  </property>
  <property fmtid="{D5CDD505-2E9C-101B-9397-08002B2CF9AE}" pid="4" name="Objective-Title">
    <vt:lpwstr>C131 Part A - Attachment 01 - Chronology of amendment</vt:lpwstr>
  </property>
  <property fmtid="{D5CDD505-2E9C-101B-9397-08002B2CF9AE}" pid="5" name="Objective-Description">
    <vt:lpwstr/>
  </property>
  <property fmtid="{D5CDD505-2E9C-101B-9397-08002B2CF9AE}" pid="6" name="Objective-CreationStamp">
    <vt:filetime>2021-02-01T06:35:19Z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2021-04-19T01:03:19Z</vt:filetime>
  </property>
  <property fmtid="{D5CDD505-2E9C-101B-9397-08002B2CF9AE}" pid="10" name="Objective-ModificationStamp">
    <vt:filetime>2021-04-19T01:03:19Z</vt:filetime>
  </property>
  <property fmtid="{D5CDD505-2E9C-101B-9397-08002B2CF9AE}" pid="11" name="Objective-Owner">
    <vt:lpwstr>Johann Du Preez</vt:lpwstr>
  </property>
  <property fmtid="{D5CDD505-2E9C-101B-9397-08002B2CF9AE}" pid="12" name="Objective-Path">
    <vt:lpwstr>Objective Global Folder:.Strategy Economy and Sustainability:Landuse and Development:Amendments C100 - C200:Amendment C131 - PPF and New Residential Zones:16. Panel:0.6 - Part A submission</vt:lpwstr>
  </property>
  <property fmtid="{D5CDD505-2E9C-101B-9397-08002B2CF9AE}" pid="13" name="Objective-Parent">
    <vt:lpwstr>0.6 - Part A submission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vA5504169</vt:lpwstr>
  </property>
  <property fmtid="{D5CDD505-2E9C-101B-9397-08002B2CF9AE}" pid="16" name="Objective-Version">
    <vt:lpwstr>8.0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qA235724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Document Type">
    <vt:lpwstr/>
  </property>
  <property fmtid="{D5CDD505-2E9C-101B-9397-08002B2CF9AE}" pid="24" name="Objective-Comment">
    <vt:lpwstr/>
  </property>
  <property fmtid="{D5CDD505-2E9C-101B-9397-08002B2CF9AE}" pid="25" name="Objective-Business Unit [system]">
    <vt:lpwstr/>
  </property>
  <property fmtid="{D5CDD505-2E9C-101B-9397-08002B2CF9AE}" pid="26" name="Objective-Document Type [system]">
    <vt:lpwstr/>
  </property>
</Properties>
</file>