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A9" w:rsidRPr="006109DA" w:rsidRDefault="00E401A9" w:rsidP="00E401A9">
      <w:pPr>
        <w:pStyle w:val="ActTitle"/>
        <w:rPr>
          <w:rFonts w:cs="Arial"/>
          <w:sz w:val="20"/>
        </w:rPr>
      </w:pPr>
      <w:bookmarkStart w:id="0" w:name="_GoBack"/>
      <w:bookmarkEnd w:id="0"/>
      <w:r w:rsidRPr="006109DA">
        <w:rPr>
          <w:rFonts w:cs="Arial"/>
          <w:sz w:val="20"/>
        </w:rPr>
        <w:t>Planning and Environment Act 1987</w:t>
      </w:r>
    </w:p>
    <w:p w:rsidR="00E401A9" w:rsidRPr="0084369A" w:rsidRDefault="000464A7" w:rsidP="00E401A9">
      <w:pPr>
        <w:pStyle w:val="Heading1"/>
        <w:rPr>
          <w:rFonts w:cs="Arial"/>
          <w:sz w:val="28"/>
          <w:szCs w:val="28"/>
        </w:rPr>
      </w:pPr>
      <w:r w:rsidRPr="0084369A">
        <w:rPr>
          <w:rFonts w:cs="Arial"/>
          <w:sz w:val="28"/>
          <w:szCs w:val="28"/>
        </w:rPr>
        <w:t>Hobsons Bay</w:t>
      </w:r>
      <w:r w:rsidR="00E401A9" w:rsidRPr="0084369A">
        <w:rPr>
          <w:rFonts w:cs="Arial"/>
          <w:sz w:val="28"/>
          <w:szCs w:val="28"/>
        </w:rPr>
        <w:t xml:space="preserve"> PLANNING SCHEME</w:t>
      </w:r>
    </w:p>
    <w:p w:rsidR="00E401A9" w:rsidRPr="0084369A" w:rsidRDefault="00E401A9" w:rsidP="00E401A9">
      <w:pPr>
        <w:pStyle w:val="Heading1"/>
        <w:rPr>
          <w:rFonts w:cs="Arial"/>
          <w:sz w:val="28"/>
          <w:szCs w:val="28"/>
        </w:rPr>
      </w:pPr>
      <w:r w:rsidRPr="0084369A">
        <w:rPr>
          <w:rFonts w:cs="Arial"/>
          <w:sz w:val="28"/>
          <w:szCs w:val="28"/>
        </w:rPr>
        <w:t>AMENDMENT C</w:t>
      </w:r>
      <w:r w:rsidR="000464A7" w:rsidRPr="0084369A">
        <w:rPr>
          <w:rFonts w:cs="Arial"/>
          <w:sz w:val="28"/>
          <w:szCs w:val="28"/>
        </w:rPr>
        <w:t>88</w:t>
      </w:r>
    </w:p>
    <w:p w:rsidR="00E401A9" w:rsidRPr="0084369A" w:rsidRDefault="00E401A9" w:rsidP="00E401A9">
      <w:pPr>
        <w:pStyle w:val="Heading1"/>
        <w:rPr>
          <w:rFonts w:cs="Arial"/>
          <w:szCs w:val="24"/>
        </w:rPr>
      </w:pPr>
      <w:r w:rsidRPr="0084369A">
        <w:rPr>
          <w:rFonts w:cs="Arial"/>
          <w:szCs w:val="24"/>
        </w:rPr>
        <w:t>EXPLANATORY REPORT</w:t>
      </w:r>
    </w:p>
    <w:p w:rsidR="00E401A9" w:rsidRPr="0084369A" w:rsidRDefault="00E401A9" w:rsidP="00E401A9">
      <w:pPr>
        <w:pStyle w:val="Heading2"/>
        <w:jc w:val="left"/>
        <w:rPr>
          <w:rFonts w:cs="Arial"/>
        </w:rPr>
      </w:pPr>
      <w:r w:rsidRPr="0084369A">
        <w:rPr>
          <w:rFonts w:cs="Arial"/>
        </w:rPr>
        <w:t>Who is the planning authority?</w:t>
      </w:r>
    </w:p>
    <w:p w:rsidR="00E401A9" w:rsidRPr="0084369A" w:rsidRDefault="00E401A9" w:rsidP="00E401A9">
      <w:pPr>
        <w:jc w:val="left"/>
        <w:rPr>
          <w:rFonts w:ascii="Arial" w:hAnsi="Arial" w:cs="Arial"/>
          <w:sz w:val="22"/>
          <w:szCs w:val="22"/>
        </w:rPr>
      </w:pPr>
      <w:r w:rsidRPr="0084369A">
        <w:rPr>
          <w:rFonts w:ascii="Arial" w:hAnsi="Arial" w:cs="Arial"/>
          <w:sz w:val="22"/>
          <w:szCs w:val="22"/>
        </w:rPr>
        <w:t xml:space="preserve">This amendment has been prepared by the </w:t>
      </w:r>
      <w:r w:rsidR="000464A7" w:rsidRPr="0084369A">
        <w:rPr>
          <w:rFonts w:ascii="Arial" w:hAnsi="Arial" w:cs="Arial"/>
          <w:sz w:val="22"/>
          <w:szCs w:val="22"/>
        </w:rPr>
        <w:t>Hobsons Bay City Council</w:t>
      </w:r>
      <w:r w:rsidRPr="0084369A">
        <w:rPr>
          <w:rFonts w:ascii="Arial" w:hAnsi="Arial" w:cs="Arial"/>
          <w:sz w:val="22"/>
          <w:szCs w:val="22"/>
        </w:rPr>
        <w:t>, which is the planning authority for this amendment.</w:t>
      </w:r>
    </w:p>
    <w:p w:rsidR="00E401A9" w:rsidRPr="0084369A" w:rsidRDefault="00E401A9" w:rsidP="00E401A9">
      <w:pPr>
        <w:jc w:val="left"/>
        <w:rPr>
          <w:rFonts w:ascii="Arial" w:hAnsi="Arial" w:cs="Arial"/>
          <w:sz w:val="22"/>
          <w:szCs w:val="22"/>
        </w:rPr>
      </w:pPr>
      <w:r w:rsidRPr="0084369A">
        <w:rPr>
          <w:rFonts w:ascii="Arial" w:hAnsi="Arial" w:cs="Arial"/>
          <w:sz w:val="22"/>
          <w:szCs w:val="22"/>
        </w:rPr>
        <w:t xml:space="preserve">The Amendment has been made at the request of </w:t>
      </w:r>
      <w:r w:rsidR="000464A7" w:rsidRPr="0084369A">
        <w:rPr>
          <w:rFonts w:ascii="Arial" w:hAnsi="Arial" w:cs="Arial"/>
          <w:sz w:val="22"/>
          <w:szCs w:val="22"/>
        </w:rPr>
        <w:t>‘Precinct 15 landowners Consortium’ comprising the owners of some properties subject to the amendment</w:t>
      </w:r>
      <w:r w:rsidRPr="0084369A">
        <w:rPr>
          <w:rFonts w:ascii="Arial" w:hAnsi="Arial" w:cs="Arial"/>
          <w:sz w:val="22"/>
          <w:szCs w:val="22"/>
        </w:rPr>
        <w:t>.</w:t>
      </w:r>
    </w:p>
    <w:p w:rsidR="00E401A9" w:rsidRPr="0084369A" w:rsidRDefault="00E401A9" w:rsidP="00E401A9">
      <w:pPr>
        <w:pStyle w:val="Heading2"/>
        <w:jc w:val="left"/>
        <w:rPr>
          <w:rFonts w:cs="Arial"/>
        </w:rPr>
      </w:pPr>
      <w:r w:rsidRPr="0084369A">
        <w:rPr>
          <w:rFonts w:cs="Arial"/>
        </w:rPr>
        <w:t>Land affected by the Amendment</w:t>
      </w:r>
    </w:p>
    <w:p w:rsidR="00E401A9" w:rsidRPr="0084369A" w:rsidRDefault="00E401A9" w:rsidP="00E401A9">
      <w:pPr>
        <w:jc w:val="left"/>
        <w:rPr>
          <w:rFonts w:ascii="Arial" w:hAnsi="Arial" w:cs="Arial"/>
          <w:sz w:val="22"/>
          <w:szCs w:val="22"/>
        </w:rPr>
      </w:pPr>
      <w:r w:rsidRPr="0084369A">
        <w:rPr>
          <w:rFonts w:ascii="Arial" w:hAnsi="Arial" w:cs="Arial"/>
          <w:sz w:val="22"/>
          <w:szCs w:val="22"/>
        </w:rPr>
        <w:t>The Amendment applies to</w:t>
      </w:r>
      <w:r w:rsidR="000464A7" w:rsidRPr="0084369A">
        <w:rPr>
          <w:rFonts w:ascii="Arial" w:hAnsi="Arial" w:cs="Arial"/>
          <w:sz w:val="22"/>
          <w:szCs w:val="22"/>
        </w:rPr>
        <w:t xml:space="preserve"> the land generally bounded by the West Gate Freeway, New Street, Blackshaws Road and Kyle Road in Altona North and South Kingsville</w:t>
      </w:r>
      <w:r w:rsidRPr="0084369A">
        <w:rPr>
          <w:rFonts w:ascii="Arial" w:hAnsi="Arial" w:cs="Arial"/>
          <w:sz w:val="22"/>
          <w:szCs w:val="22"/>
        </w:rPr>
        <w:t>.</w:t>
      </w:r>
      <w:r w:rsidR="0084369A" w:rsidRPr="0084369A">
        <w:rPr>
          <w:rFonts w:ascii="Arial" w:hAnsi="Arial" w:cs="Arial"/>
          <w:sz w:val="22"/>
          <w:szCs w:val="22"/>
        </w:rPr>
        <w:t xml:space="preserve"> </w:t>
      </w:r>
    </w:p>
    <w:p w:rsidR="00E401A9" w:rsidRDefault="0070412A" w:rsidP="0084369A">
      <w:pPr>
        <w:jc w:val="left"/>
        <w:rPr>
          <w:rFonts w:ascii="Arial" w:hAnsi="Arial" w:cs="Arial"/>
          <w:b/>
          <w:bCs/>
          <w:color w:val="0033CC"/>
          <w:sz w:val="20"/>
          <w:szCs w:val="22"/>
        </w:rPr>
      </w:pPr>
      <w:r>
        <w:rPr>
          <w:rFonts w:ascii="Arial" w:hAnsi="Arial" w:cs="Arial"/>
          <w:b/>
          <w:bCs/>
          <w:noProof/>
          <w:color w:val="0033CC"/>
          <w:sz w:val="20"/>
          <w:szCs w:val="22"/>
        </w:rPr>
        <mc:AlternateContent>
          <mc:Choice Requires="wps">
            <w:drawing>
              <wp:anchor distT="0" distB="0" distL="114300" distR="114300" simplePos="0" relativeHeight="251670528" behindDoc="0" locked="0" layoutInCell="1" allowOverlap="1" wp14:anchorId="53F489D8" wp14:editId="67591582">
                <wp:simplePos x="0" y="0"/>
                <wp:positionH relativeFrom="column">
                  <wp:posOffset>3838575</wp:posOffset>
                </wp:positionH>
                <wp:positionV relativeFrom="paragraph">
                  <wp:posOffset>3887470</wp:posOffset>
                </wp:positionV>
                <wp:extent cx="0" cy="152400"/>
                <wp:effectExtent l="19050" t="0" r="19050" b="0"/>
                <wp:wrapNone/>
                <wp:docPr id="13" name="Straight Connector 13"/>
                <wp:cNvGraphicFramePr/>
                <a:graphic xmlns:a="http://schemas.openxmlformats.org/drawingml/2006/main">
                  <a:graphicData uri="http://schemas.microsoft.com/office/word/2010/wordprocessingShape">
                    <wps:wsp>
                      <wps:cNvCnPr/>
                      <wps:spPr>
                        <a:xfrm flipV="1">
                          <a:off x="0" y="0"/>
                          <a:ext cx="0" cy="15240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B0901"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306.1pt" to="302.2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" strokecolor="black [3213]" strokeweight="3pt">
                <v:stroke dashstyle="1 1" joinstyle="miter"/>
              </v:lin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8480" behindDoc="0" locked="0" layoutInCell="1" allowOverlap="1" wp14:anchorId="53F489D8" wp14:editId="67591582">
                <wp:simplePos x="0" y="0"/>
                <wp:positionH relativeFrom="column">
                  <wp:posOffset>4124325</wp:posOffset>
                </wp:positionH>
                <wp:positionV relativeFrom="paragraph">
                  <wp:posOffset>3896995</wp:posOffset>
                </wp:positionV>
                <wp:extent cx="0" cy="171450"/>
                <wp:effectExtent l="19050" t="19050" r="19050" b="0"/>
                <wp:wrapNone/>
                <wp:docPr id="12" name="Straight Connector 12"/>
                <wp:cNvGraphicFramePr/>
                <a:graphic xmlns:a="http://schemas.openxmlformats.org/drawingml/2006/main">
                  <a:graphicData uri="http://schemas.microsoft.com/office/word/2010/wordprocessingShape">
                    <wps:wsp>
                      <wps:cNvCnPr/>
                      <wps:spPr>
                        <a:xfrm flipV="1">
                          <a:off x="0" y="0"/>
                          <a:ext cx="0" cy="17145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92CBC"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306.85pt" to="324.75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" strokecolor="black [3213]" strokeweight="3pt">
                <v:stroke dashstyle="1 1" joinstyle="miter"/>
              </v:lin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6432" behindDoc="0" locked="0" layoutInCell="1" allowOverlap="1" wp14:anchorId="53F489D8" wp14:editId="67591582">
                <wp:simplePos x="0" y="0"/>
                <wp:positionH relativeFrom="column">
                  <wp:posOffset>3838575</wp:posOffset>
                </wp:positionH>
                <wp:positionV relativeFrom="paragraph">
                  <wp:posOffset>4068445</wp:posOffset>
                </wp:positionV>
                <wp:extent cx="2857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28575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37324"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25pt,320.35pt" to="324.75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" strokecolor="black [3213]" strokeweight="3pt">
                <v:stroke dashstyle="1 1" joinstyle="miter"/>
              </v:lin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4384" behindDoc="0" locked="0" layoutInCell="1" allowOverlap="1">
                <wp:simplePos x="0" y="0"/>
                <wp:positionH relativeFrom="column">
                  <wp:posOffset>3838576</wp:posOffset>
                </wp:positionH>
                <wp:positionV relativeFrom="paragraph">
                  <wp:posOffset>3887470</wp:posOffset>
                </wp:positionV>
                <wp:extent cx="2857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28575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82010"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25pt,306.1pt" to="324.7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" strokecolor="black [3213]" strokeweight="3pt">
                <v:stroke dashstyle="1 1" joinstyle="miter"/>
              </v:lin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3360" behindDoc="0" locked="0" layoutInCell="1" allowOverlap="1">
                <wp:simplePos x="0" y="0"/>
                <wp:positionH relativeFrom="column">
                  <wp:posOffset>3905250</wp:posOffset>
                </wp:positionH>
                <wp:positionV relativeFrom="paragraph">
                  <wp:posOffset>1466850</wp:posOffset>
                </wp:positionV>
                <wp:extent cx="419100" cy="76200"/>
                <wp:effectExtent l="1905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76200"/>
                        </a:xfrm>
                        <a:prstGeom prst="straightConnector1">
                          <a:avLst/>
                        </a:prstGeom>
                        <a:noFill/>
                        <a:ln w="3810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BA323" id="_x0000_t32" coordsize="21600,21600" o:spt="32" o:oned="t" path="m,l21600,21600e" filled="f">
                <v:path arrowok="t" fillok="f" o:connecttype="none"/>
                <o:lock v:ext="edit" shapetype="t"/>
              </v:shapetype>
              <v:shape id="Straight Arrow Connector 7" o:spid="_x0000_s1026" type="#_x0000_t32" style="position:absolute;margin-left:307.5pt;margin-top:115.5pt;width:33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" strokeweight="3pt">
                <v:stroke dashstyle="1 1"/>
              </v:shap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1076325</wp:posOffset>
                </wp:positionV>
                <wp:extent cx="485775" cy="466725"/>
                <wp:effectExtent l="1905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466725"/>
                        </a:xfrm>
                        <a:prstGeom prst="straightConnector1">
                          <a:avLst/>
                        </a:prstGeom>
                        <a:noFill/>
                        <a:ln w="3810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26C59" id="Straight Arrow Connector 5" o:spid="_x0000_s1026" type="#_x0000_t32" style="position:absolute;margin-left:302.25pt;margin-top:84.75pt;width:38.25pt;height:36.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" strokeweight="3pt">
                <v:stroke dashstyle="1 1"/>
              </v:shap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3181350</wp:posOffset>
                </wp:positionV>
                <wp:extent cx="2143125" cy="295275"/>
                <wp:effectExtent l="1905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3125" cy="295275"/>
                        </a:xfrm>
                        <a:prstGeom prst="straightConnector1">
                          <a:avLst/>
                        </a:prstGeom>
                        <a:noFill/>
                        <a:ln w="3810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B8EB" id="Straight Arrow Connector 4" o:spid="_x0000_s1026" type="#_x0000_t32" style="position:absolute;margin-left:120.75pt;margin-top:250.5pt;width:168.75pt;height:23.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" strokeweight="3pt">
                <v:stroke dashstyle="1 1"/>
              </v:shape>
            </w:pict>
          </mc:Fallback>
        </mc:AlternateContent>
      </w:r>
      <w:r>
        <w:rPr>
          <w:rFonts w:ascii="Arial" w:hAnsi="Arial" w:cs="Arial"/>
          <w:b/>
          <w:bCs/>
          <w:noProof/>
          <w:color w:val="0033CC"/>
          <w:sz w:val="20"/>
          <w:szCs w:val="22"/>
        </w:rPr>
        <mc:AlternateContent>
          <mc:Choice Requires="wps">
            <w:drawing>
              <wp:anchor distT="0" distB="0" distL="114300" distR="114300" simplePos="0" relativeHeight="251660288" behindDoc="0" locked="0" layoutInCell="1" allowOverlap="1">
                <wp:simplePos x="0" y="0"/>
                <wp:positionH relativeFrom="column">
                  <wp:posOffset>3676650</wp:posOffset>
                </wp:positionH>
                <wp:positionV relativeFrom="paragraph">
                  <wp:posOffset>1438275</wp:posOffset>
                </wp:positionV>
                <wp:extent cx="266700" cy="2038350"/>
                <wp:effectExtent l="19050" t="1905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038350"/>
                        </a:xfrm>
                        <a:prstGeom prst="straightConnector1">
                          <a:avLst/>
                        </a:prstGeom>
                        <a:noFill/>
                        <a:ln w="3810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7A98" id="Straight Arrow Connector 3" o:spid="_x0000_s1026" type="#_x0000_t32" style="position:absolute;margin-left:289.5pt;margin-top:113.25pt;width:21pt;height:16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" strokeweight="3pt">
                <v:stroke dashstyle="1 1"/>
              </v:shape>
            </w:pict>
          </mc:Fallback>
        </mc:AlternateContent>
      </w:r>
      <w:r>
        <w:rPr>
          <w:rFonts w:ascii="Arial" w:hAnsi="Arial" w:cs="Arial"/>
          <w:b/>
          <w:bCs/>
          <w:noProof/>
          <w:color w:val="0033CC"/>
          <w:sz w:val="20"/>
          <w:szCs w:val="22"/>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1171575</wp:posOffset>
                </wp:positionV>
                <wp:extent cx="266700" cy="20383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038350"/>
                        </a:xfrm>
                        <a:prstGeom prst="straightConnector1">
                          <a:avLst/>
                        </a:prstGeom>
                        <a:noFill/>
                        <a:ln w="3810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C739" id="Straight Arrow Connector 2" o:spid="_x0000_s1026" type="#_x0000_t32" style="position:absolute;margin-left:117.75pt;margin-top:92.25pt;width:21pt;height:16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" strokeweight="3pt">
                <v:stroke dashstyle="1 1"/>
              </v:shape>
            </w:pict>
          </mc:Fallback>
        </mc:AlternateContent>
      </w:r>
      <w:r>
        <w:rPr>
          <w:rFonts w:ascii="Arial" w:hAnsi="Arial" w:cs="Arial"/>
          <w:b/>
          <w:bCs/>
          <w:noProof/>
          <w:color w:val="0033CC"/>
          <w:sz w:val="20"/>
          <w:szCs w:val="22"/>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1076325</wp:posOffset>
                </wp:positionV>
                <wp:extent cx="2076450" cy="9525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95250"/>
                        </a:xfrm>
                        <a:prstGeom prst="straightConnector1">
                          <a:avLst/>
                        </a:prstGeom>
                        <a:noFill/>
                        <a:ln w="3810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4AA67" id="Straight Arrow Connector 1" o:spid="_x0000_s1026" type="#_x0000_t32" style="position:absolute;margin-left:138.75pt;margin-top:84.75pt;width:163.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" strokeweight="3pt">
                <v:stroke dashstyle="1 1"/>
              </v:shape>
            </w:pict>
          </mc:Fallback>
        </mc:AlternateContent>
      </w:r>
      <w:r w:rsidR="00CD6491">
        <w:rPr>
          <w:rFonts w:ascii="Arial" w:hAnsi="Arial" w:cs="Arial"/>
          <w:b/>
          <w:bCs/>
          <w:noProof/>
          <w:color w:val="0033CC"/>
          <w:sz w:val="20"/>
          <w:szCs w:val="22"/>
        </w:rPr>
        <w:drawing>
          <wp:inline distT="0" distB="0" distL="0" distR="0">
            <wp:extent cx="5743575" cy="4476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4476750"/>
                    </a:xfrm>
                    <a:prstGeom prst="rect">
                      <a:avLst/>
                    </a:prstGeom>
                    <a:noFill/>
                    <a:ln>
                      <a:noFill/>
                    </a:ln>
                  </pic:spPr>
                </pic:pic>
              </a:graphicData>
            </a:graphic>
          </wp:inline>
        </w:drawing>
      </w:r>
      <w:r w:rsidR="000464A7">
        <w:rPr>
          <w:rFonts w:ascii="Arial" w:hAnsi="Arial" w:cs="Arial"/>
          <w:b/>
          <w:bCs/>
          <w:color w:val="0033CC"/>
          <w:sz w:val="20"/>
          <w:szCs w:val="22"/>
        </w:rPr>
        <w:t xml:space="preserve"> </w:t>
      </w:r>
    </w:p>
    <w:p w:rsidR="00CD6491" w:rsidRPr="006170F8" w:rsidRDefault="00CD6491" w:rsidP="0084369A">
      <w:pPr>
        <w:jc w:val="left"/>
        <w:rPr>
          <w:rFonts w:ascii="Arial" w:hAnsi="Arial" w:cs="Arial"/>
          <w:color w:val="FF0000"/>
          <w:sz w:val="22"/>
          <w:szCs w:val="22"/>
        </w:rPr>
      </w:pPr>
    </w:p>
    <w:p w:rsidR="00E401A9" w:rsidRPr="00823BB7" w:rsidRDefault="00E401A9" w:rsidP="00E401A9">
      <w:pPr>
        <w:pStyle w:val="Heading2"/>
        <w:jc w:val="left"/>
        <w:rPr>
          <w:rFonts w:cs="Arial"/>
        </w:rPr>
      </w:pPr>
      <w:r w:rsidRPr="00823BB7">
        <w:rPr>
          <w:rFonts w:cs="Arial"/>
        </w:rPr>
        <w:t>What the amendment does</w:t>
      </w:r>
    </w:p>
    <w:p w:rsidR="0011206F" w:rsidRDefault="00E401A9" w:rsidP="00E401A9">
      <w:pPr>
        <w:jc w:val="left"/>
        <w:rPr>
          <w:rFonts w:ascii="Arial" w:hAnsi="Arial" w:cs="Arial"/>
          <w:sz w:val="22"/>
          <w:szCs w:val="22"/>
        </w:rPr>
      </w:pPr>
      <w:r>
        <w:rPr>
          <w:rFonts w:ascii="Arial" w:hAnsi="Arial" w:cs="Arial"/>
          <w:sz w:val="22"/>
          <w:szCs w:val="22"/>
        </w:rPr>
        <w:t>A</w:t>
      </w:r>
      <w:r w:rsidRPr="00F27102">
        <w:rPr>
          <w:rFonts w:ascii="Arial" w:hAnsi="Arial" w:cs="Arial"/>
          <w:sz w:val="22"/>
          <w:szCs w:val="22"/>
        </w:rPr>
        <w:t>mendment</w:t>
      </w:r>
      <w:r w:rsidR="008A5E3B">
        <w:rPr>
          <w:rFonts w:ascii="Arial" w:hAnsi="Arial" w:cs="Arial"/>
          <w:sz w:val="22"/>
          <w:szCs w:val="22"/>
        </w:rPr>
        <w:t xml:space="preserve"> </w:t>
      </w:r>
      <w:r w:rsidR="00350E1A">
        <w:rPr>
          <w:rFonts w:ascii="Arial" w:hAnsi="Arial" w:cs="Arial"/>
          <w:sz w:val="22"/>
          <w:szCs w:val="22"/>
        </w:rPr>
        <w:t xml:space="preserve">C88 </w:t>
      </w:r>
      <w:r w:rsidR="008A5E3B">
        <w:rPr>
          <w:rFonts w:ascii="Arial" w:hAnsi="Arial" w:cs="Arial"/>
          <w:sz w:val="22"/>
          <w:szCs w:val="22"/>
        </w:rPr>
        <w:t>facilitate</w:t>
      </w:r>
      <w:r w:rsidR="00350E1A">
        <w:rPr>
          <w:rFonts w:ascii="Arial" w:hAnsi="Arial" w:cs="Arial"/>
          <w:sz w:val="22"/>
          <w:szCs w:val="22"/>
        </w:rPr>
        <w:t>s</w:t>
      </w:r>
      <w:r w:rsidR="008A5E3B">
        <w:rPr>
          <w:rFonts w:ascii="Arial" w:hAnsi="Arial" w:cs="Arial"/>
          <w:sz w:val="22"/>
          <w:szCs w:val="22"/>
        </w:rPr>
        <w:t xml:space="preserve"> the replacement </w:t>
      </w:r>
      <w:r w:rsidR="00350E1A">
        <w:rPr>
          <w:rFonts w:ascii="Arial" w:hAnsi="Arial" w:cs="Arial"/>
          <w:sz w:val="22"/>
          <w:szCs w:val="22"/>
        </w:rPr>
        <w:t xml:space="preserve">of part vacant and part occupied industrial land </w:t>
      </w:r>
      <w:r w:rsidR="008A5E3B">
        <w:rPr>
          <w:rFonts w:ascii="Arial" w:hAnsi="Arial" w:cs="Arial"/>
          <w:sz w:val="22"/>
          <w:szCs w:val="22"/>
        </w:rPr>
        <w:t xml:space="preserve">with a residential and mixed use </w:t>
      </w:r>
      <w:r w:rsidR="00350E1A">
        <w:rPr>
          <w:rFonts w:ascii="Arial" w:hAnsi="Arial" w:cs="Arial"/>
          <w:sz w:val="22"/>
          <w:szCs w:val="22"/>
        </w:rPr>
        <w:t xml:space="preserve">development </w:t>
      </w:r>
      <w:r w:rsidR="008A5E3B">
        <w:rPr>
          <w:rFonts w:ascii="Arial" w:hAnsi="Arial" w:cs="Arial"/>
          <w:sz w:val="22"/>
          <w:szCs w:val="22"/>
        </w:rPr>
        <w:t xml:space="preserve">including </w:t>
      </w:r>
      <w:r w:rsidR="00350E1A">
        <w:rPr>
          <w:rFonts w:ascii="Arial" w:hAnsi="Arial" w:cs="Arial"/>
          <w:sz w:val="22"/>
          <w:szCs w:val="22"/>
        </w:rPr>
        <w:t xml:space="preserve">provision for </w:t>
      </w:r>
      <w:r w:rsidR="008A5E3B">
        <w:rPr>
          <w:rFonts w:ascii="Arial" w:hAnsi="Arial" w:cs="Arial"/>
          <w:sz w:val="22"/>
          <w:szCs w:val="22"/>
        </w:rPr>
        <w:t xml:space="preserve">local shops and services, parks and offices. </w:t>
      </w:r>
    </w:p>
    <w:p w:rsidR="00350E1A" w:rsidRDefault="00350E1A" w:rsidP="00E401A9">
      <w:pPr>
        <w:jc w:val="left"/>
        <w:rPr>
          <w:rFonts w:ascii="Arial" w:hAnsi="Arial" w:cs="Arial"/>
          <w:sz w:val="22"/>
          <w:szCs w:val="22"/>
        </w:rPr>
      </w:pPr>
      <w:r>
        <w:rPr>
          <w:rFonts w:ascii="Arial" w:hAnsi="Arial" w:cs="Arial"/>
          <w:sz w:val="22"/>
          <w:szCs w:val="22"/>
        </w:rPr>
        <w:lastRenderedPageBreak/>
        <w:t xml:space="preserve">Residential development is intended to be </w:t>
      </w:r>
      <w:r w:rsidR="008A5E3B">
        <w:rPr>
          <w:rFonts w:ascii="Arial" w:hAnsi="Arial" w:cs="Arial"/>
          <w:sz w:val="22"/>
          <w:szCs w:val="22"/>
        </w:rPr>
        <w:t xml:space="preserve">predominantly low rise, particularly at the edges of the site, with opportunities for mid-rise apartments and mixed use </w:t>
      </w:r>
      <w:r>
        <w:rPr>
          <w:rFonts w:ascii="Arial" w:hAnsi="Arial" w:cs="Arial"/>
          <w:sz w:val="22"/>
          <w:szCs w:val="22"/>
        </w:rPr>
        <w:t xml:space="preserve">buildings </w:t>
      </w:r>
      <w:r w:rsidR="008A5E3B">
        <w:rPr>
          <w:rFonts w:ascii="Arial" w:hAnsi="Arial" w:cs="Arial"/>
          <w:sz w:val="22"/>
          <w:szCs w:val="22"/>
        </w:rPr>
        <w:t xml:space="preserve">in suitable locations within the site and on a short stretch of Blackshaws Road. </w:t>
      </w:r>
    </w:p>
    <w:p w:rsidR="00E401A9" w:rsidRDefault="00350E1A" w:rsidP="00E401A9">
      <w:pPr>
        <w:jc w:val="left"/>
        <w:rPr>
          <w:rFonts w:ascii="Arial" w:hAnsi="Arial" w:cs="Arial"/>
          <w:color w:val="FF0000"/>
          <w:sz w:val="22"/>
          <w:szCs w:val="22"/>
        </w:rPr>
      </w:pPr>
      <w:r>
        <w:rPr>
          <w:rFonts w:ascii="Arial" w:hAnsi="Arial" w:cs="Arial"/>
          <w:sz w:val="22"/>
          <w:szCs w:val="22"/>
        </w:rPr>
        <w:t xml:space="preserve">The amendment includes two incorporated plans to guide the layout of use and development and set out specific requirements for </w:t>
      </w:r>
      <w:r w:rsidR="008A5E3B">
        <w:rPr>
          <w:rFonts w:ascii="Arial" w:hAnsi="Arial" w:cs="Arial"/>
          <w:sz w:val="22"/>
          <w:szCs w:val="22"/>
        </w:rPr>
        <w:t>public streets, parks, landscaping</w:t>
      </w:r>
      <w:r>
        <w:rPr>
          <w:rFonts w:ascii="Arial" w:hAnsi="Arial" w:cs="Arial"/>
          <w:sz w:val="22"/>
          <w:szCs w:val="22"/>
        </w:rPr>
        <w:t>, community facilities</w:t>
      </w:r>
      <w:r w:rsidR="008A5E3B">
        <w:rPr>
          <w:rFonts w:ascii="Arial" w:hAnsi="Arial" w:cs="Arial"/>
          <w:sz w:val="22"/>
          <w:szCs w:val="22"/>
        </w:rPr>
        <w:t xml:space="preserve"> and service infrastructure.</w:t>
      </w:r>
    </w:p>
    <w:p w:rsidR="00350E1A" w:rsidRDefault="00E401A9" w:rsidP="0084369A">
      <w:pPr>
        <w:jc w:val="left"/>
        <w:rPr>
          <w:rFonts w:ascii="Arial" w:hAnsi="Arial" w:cs="Arial"/>
          <w:sz w:val="22"/>
          <w:szCs w:val="22"/>
        </w:rPr>
      </w:pPr>
      <w:r>
        <w:rPr>
          <w:rFonts w:ascii="Arial" w:hAnsi="Arial" w:cs="Arial"/>
          <w:sz w:val="22"/>
          <w:szCs w:val="22"/>
        </w:rPr>
        <w:t xml:space="preserve">The </w:t>
      </w:r>
      <w:r w:rsidR="00350E1A">
        <w:rPr>
          <w:rFonts w:ascii="Arial" w:hAnsi="Arial" w:cs="Arial"/>
          <w:sz w:val="22"/>
          <w:szCs w:val="22"/>
        </w:rPr>
        <w:t>a</w:t>
      </w:r>
      <w:r>
        <w:rPr>
          <w:rFonts w:ascii="Arial" w:hAnsi="Arial" w:cs="Arial"/>
          <w:sz w:val="22"/>
          <w:szCs w:val="22"/>
        </w:rPr>
        <w:t>mendment</w:t>
      </w:r>
      <w:r w:rsidR="00350E1A">
        <w:rPr>
          <w:rFonts w:ascii="Arial" w:hAnsi="Arial" w:cs="Arial"/>
          <w:sz w:val="22"/>
          <w:szCs w:val="22"/>
        </w:rPr>
        <w:t>:</w:t>
      </w:r>
    </w:p>
    <w:p w:rsidR="0011206F" w:rsidRDefault="0011206F" w:rsidP="00350E1A">
      <w:pPr>
        <w:pStyle w:val="ListParagraph"/>
        <w:numPr>
          <w:ilvl w:val="0"/>
          <w:numId w:val="43"/>
        </w:numPr>
        <w:jc w:val="left"/>
        <w:rPr>
          <w:rFonts w:ascii="Arial" w:hAnsi="Arial" w:cs="Arial"/>
          <w:sz w:val="22"/>
          <w:szCs w:val="22"/>
        </w:rPr>
      </w:pPr>
      <w:r>
        <w:rPr>
          <w:rFonts w:ascii="Arial" w:hAnsi="Arial" w:cs="Arial"/>
          <w:sz w:val="22"/>
          <w:szCs w:val="22"/>
        </w:rPr>
        <w:t xml:space="preserve">Implements relevant parts of the </w:t>
      </w:r>
      <w:r w:rsidRPr="0011206F">
        <w:rPr>
          <w:rFonts w:ascii="Arial" w:hAnsi="Arial" w:cs="Arial"/>
          <w:i/>
          <w:sz w:val="22"/>
          <w:szCs w:val="22"/>
        </w:rPr>
        <w:t>Hobsons Bay Industrial Land Use Strategy</w:t>
      </w:r>
      <w:r>
        <w:rPr>
          <w:rFonts w:ascii="Arial" w:hAnsi="Arial" w:cs="Arial"/>
          <w:sz w:val="22"/>
          <w:szCs w:val="22"/>
        </w:rPr>
        <w:t>;</w:t>
      </w:r>
    </w:p>
    <w:p w:rsidR="002471D6" w:rsidRDefault="002471D6" w:rsidP="002471D6">
      <w:pPr>
        <w:pStyle w:val="ListParagraph"/>
        <w:numPr>
          <w:ilvl w:val="0"/>
          <w:numId w:val="43"/>
        </w:numPr>
        <w:jc w:val="left"/>
        <w:rPr>
          <w:rFonts w:ascii="Arial" w:hAnsi="Arial" w:cs="Arial"/>
          <w:sz w:val="22"/>
          <w:szCs w:val="22"/>
        </w:rPr>
      </w:pPr>
      <w:r w:rsidRPr="002471D6">
        <w:rPr>
          <w:rFonts w:ascii="Arial" w:hAnsi="Arial" w:cs="Arial"/>
          <w:sz w:val="22"/>
          <w:szCs w:val="22"/>
        </w:rPr>
        <w:t xml:space="preserve">Rezones the land from Industrial 1 Zone (IN1Z) </w:t>
      </w:r>
      <w:r w:rsidR="00D26C80">
        <w:rPr>
          <w:rFonts w:ascii="Arial" w:hAnsi="Arial" w:cs="Arial"/>
          <w:sz w:val="22"/>
          <w:szCs w:val="22"/>
        </w:rPr>
        <w:t xml:space="preserve">and Industrial 3 Zone (IN3Z) </w:t>
      </w:r>
      <w:r w:rsidRPr="002471D6">
        <w:rPr>
          <w:rFonts w:ascii="Arial" w:hAnsi="Arial" w:cs="Arial"/>
          <w:sz w:val="22"/>
          <w:szCs w:val="22"/>
        </w:rPr>
        <w:t>to Comprehensive Development Zone (CDZ2) and except for the Brooklyn Terminal Station which is rezoned to Special Use Zone (SUZ6);</w:t>
      </w:r>
    </w:p>
    <w:p w:rsidR="00C3687E" w:rsidRDefault="00C3687E" w:rsidP="002471D6">
      <w:pPr>
        <w:pStyle w:val="ListParagraph"/>
        <w:numPr>
          <w:ilvl w:val="0"/>
          <w:numId w:val="43"/>
        </w:numPr>
        <w:jc w:val="left"/>
        <w:rPr>
          <w:rFonts w:ascii="Arial" w:hAnsi="Arial" w:cs="Arial"/>
          <w:sz w:val="22"/>
          <w:szCs w:val="22"/>
        </w:rPr>
      </w:pPr>
      <w:r>
        <w:rPr>
          <w:rFonts w:ascii="Arial" w:hAnsi="Arial" w:cs="Arial"/>
          <w:sz w:val="22"/>
          <w:szCs w:val="22"/>
        </w:rPr>
        <w:t>Introduces Schedule 2 to Clause 37.02 Comprehensive Development Zone</w:t>
      </w:r>
      <w:r w:rsidR="002471D6">
        <w:rPr>
          <w:rFonts w:ascii="Arial" w:hAnsi="Arial" w:cs="Arial"/>
          <w:sz w:val="22"/>
          <w:szCs w:val="22"/>
        </w:rPr>
        <w:t>;</w:t>
      </w:r>
    </w:p>
    <w:p w:rsidR="002471D6" w:rsidRDefault="002471D6" w:rsidP="002471D6">
      <w:pPr>
        <w:pStyle w:val="ListParagraph"/>
        <w:numPr>
          <w:ilvl w:val="0"/>
          <w:numId w:val="43"/>
        </w:numPr>
        <w:jc w:val="left"/>
        <w:rPr>
          <w:rFonts w:ascii="Arial" w:hAnsi="Arial" w:cs="Arial"/>
          <w:sz w:val="22"/>
          <w:szCs w:val="22"/>
        </w:rPr>
      </w:pPr>
      <w:r>
        <w:rPr>
          <w:rFonts w:ascii="Arial" w:hAnsi="Arial" w:cs="Arial"/>
          <w:sz w:val="22"/>
          <w:szCs w:val="22"/>
        </w:rPr>
        <w:t>Introduces Schedule 6 to the Special Use Zone;</w:t>
      </w:r>
    </w:p>
    <w:p w:rsidR="00350E1A" w:rsidRDefault="00350E1A" w:rsidP="00350E1A">
      <w:pPr>
        <w:pStyle w:val="ListParagraph"/>
        <w:numPr>
          <w:ilvl w:val="0"/>
          <w:numId w:val="43"/>
        </w:numPr>
        <w:jc w:val="left"/>
        <w:rPr>
          <w:rFonts w:ascii="Arial" w:hAnsi="Arial" w:cs="Arial"/>
          <w:sz w:val="22"/>
          <w:szCs w:val="22"/>
        </w:rPr>
      </w:pPr>
      <w:r>
        <w:rPr>
          <w:rFonts w:ascii="Arial" w:hAnsi="Arial" w:cs="Arial"/>
          <w:sz w:val="22"/>
          <w:szCs w:val="22"/>
        </w:rPr>
        <w:t>Applies the Development Contributions Plan Overlay (DCPO2) to the land;</w:t>
      </w:r>
    </w:p>
    <w:p w:rsidR="00C3687E" w:rsidRDefault="00C3687E" w:rsidP="00350E1A">
      <w:pPr>
        <w:pStyle w:val="ListParagraph"/>
        <w:numPr>
          <w:ilvl w:val="0"/>
          <w:numId w:val="43"/>
        </w:numPr>
        <w:jc w:val="left"/>
        <w:rPr>
          <w:rFonts w:ascii="Arial" w:hAnsi="Arial" w:cs="Arial"/>
          <w:sz w:val="22"/>
          <w:szCs w:val="22"/>
        </w:rPr>
      </w:pPr>
      <w:r>
        <w:rPr>
          <w:rFonts w:ascii="Arial" w:hAnsi="Arial" w:cs="Arial"/>
          <w:sz w:val="22"/>
          <w:szCs w:val="22"/>
        </w:rPr>
        <w:t>Introduces Schedule 2 to Clause 45.06 Development Contributions Plan Overlay</w:t>
      </w:r>
    </w:p>
    <w:p w:rsidR="00350E1A" w:rsidRDefault="00350E1A" w:rsidP="00350E1A">
      <w:pPr>
        <w:pStyle w:val="ListParagraph"/>
        <w:numPr>
          <w:ilvl w:val="0"/>
          <w:numId w:val="43"/>
        </w:numPr>
        <w:jc w:val="left"/>
        <w:rPr>
          <w:rFonts w:ascii="Arial" w:hAnsi="Arial" w:cs="Arial"/>
          <w:sz w:val="22"/>
          <w:szCs w:val="22"/>
        </w:rPr>
      </w:pPr>
      <w:r>
        <w:rPr>
          <w:rFonts w:ascii="Arial" w:hAnsi="Arial" w:cs="Arial"/>
          <w:sz w:val="22"/>
          <w:szCs w:val="22"/>
        </w:rPr>
        <w:t>Applies the Environmental Audit Overlay (EAO) to all but one property in the amendment area.</w:t>
      </w:r>
    </w:p>
    <w:p w:rsidR="00350E1A" w:rsidRDefault="00350E1A" w:rsidP="00350E1A">
      <w:pPr>
        <w:pStyle w:val="ListParagraph"/>
        <w:numPr>
          <w:ilvl w:val="0"/>
          <w:numId w:val="43"/>
        </w:numPr>
        <w:jc w:val="left"/>
        <w:rPr>
          <w:rFonts w:ascii="Arial" w:hAnsi="Arial" w:cs="Arial"/>
          <w:sz w:val="22"/>
          <w:szCs w:val="22"/>
        </w:rPr>
      </w:pPr>
      <w:r>
        <w:rPr>
          <w:rFonts w:ascii="Arial" w:hAnsi="Arial" w:cs="Arial"/>
          <w:sz w:val="22"/>
          <w:szCs w:val="22"/>
        </w:rPr>
        <w:t>Deletes the Heritage Overlay (HO166) from the former Gilbertson Meatworks site.</w:t>
      </w:r>
    </w:p>
    <w:p w:rsidR="008B2BE9" w:rsidRDefault="008B2BE9" w:rsidP="00350E1A">
      <w:pPr>
        <w:pStyle w:val="ListParagraph"/>
        <w:numPr>
          <w:ilvl w:val="0"/>
          <w:numId w:val="43"/>
        </w:numPr>
        <w:jc w:val="left"/>
        <w:rPr>
          <w:rFonts w:ascii="Arial" w:hAnsi="Arial" w:cs="Arial"/>
          <w:sz w:val="22"/>
          <w:szCs w:val="22"/>
        </w:rPr>
      </w:pPr>
      <w:r>
        <w:rPr>
          <w:rFonts w:ascii="Arial" w:hAnsi="Arial" w:cs="Arial"/>
          <w:sz w:val="22"/>
          <w:szCs w:val="22"/>
        </w:rPr>
        <w:t>Delete the entry for HO166 in the Schedule to Clause 43.01 Heritage Overlay.</w:t>
      </w:r>
    </w:p>
    <w:p w:rsidR="008B2BE9" w:rsidRDefault="008B2BE9" w:rsidP="00350E1A">
      <w:pPr>
        <w:pStyle w:val="ListParagraph"/>
        <w:numPr>
          <w:ilvl w:val="0"/>
          <w:numId w:val="43"/>
        </w:numPr>
        <w:jc w:val="left"/>
        <w:rPr>
          <w:rFonts w:ascii="Arial" w:hAnsi="Arial" w:cs="Arial"/>
          <w:sz w:val="22"/>
          <w:szCs w:val="22"/>
        </w:rPr>
      </w:pPr>
      <w:r>
        <w:rPr>
          <w:rFonts w:ascii="Arial" w:hAnsi="Arial" w:cs="Arial"/>
          <w:sz w:val="22"/>
          <w:szCs w:val="22"/>
        </w:rPr>
        <w:t xml:space="preserve">Inserts a new entry in the Schedule to Clause 52.01 </w:t>
      </w:r>
      <w:r w:rsidRPr="00B45B54">
        <w:rPr>
          <w:rFonts w:ascii="Arial" w:hAnsi="Arial" w:cs="Arial"/>
          <w:sz w:val="22"/>
          <w:szCs w:val="22"/>
        </w:rPr>
        <w:t xml:space="preserve">requiring </w:t>
      </w:r>
      <w:r w:rsidR="00294DAE">
        <w:rPr>
          <w:rFonts w:ascii="Arial" w:hAnsi="Arial" w:cs="Arial"/>
          <w:sz w:val="22"/>
          <w:szCs w:val="22"/>
        </w:rPr>
        <w:t xml:space="preserve">9.2% </w:t>
      </w:r>
      <w:r>
        <w:rPr>
          <w:rFonts w:ascii="Arial" w:hAnsi="Arial" w:cs="Arial"/>
          <w:sz w:val="22"/>
          <w:szCs w:val="22"/>
        </w:rPr>
        <w:t>of the land (or cash equivalent as relevant) to be contributed as public open space at subdivision.</w:t>
      </w:r>
    </w:p>
    <w:p w:rsidR="00D26C80" w:rsidRDefault="004823D2" w:rsidP="00350E1A">
      <w:pPr>
        <w:pStyle w:val="ListParagraph"/>
        <w:numPr>
          <w:ilvl w:val="0"/>
          <w:numId w:val="43"/>
        </w:numPr>
        <w:jc w:val="left"/>
        <w:rPr>
          <w:rFonts w:ascii="Arial" w:hAnsi="Arial" w:cs="Arial"/>
          <w:sz w:val="22"/>
          <w:szCs w:val="22"/>
        </w:rPr>
      </w:pPr>
      <w:r>
        <w:rPr>
          <w:rFonts w:ascii="Arial" w:hAnsi="Arial" w:cs="Arial"/>
          <w:sz w:val="22"/>
          <w:szCs w:val="22"/>
        </w:rPr>
        <w:t>Inserts a new row in Schedule 4 to Clause 52.28 to prohibit gaming machines in the town centre.</w:t>
      </w:r>
    </w:p>
    <w:p w:rsidR="00C3687E" w:rsidRDefault="00C3687E" w:rsidP="00350E1A">
      <w:pPr>
        <w:pStyle w:val="ListParagraph"/>
        <w:numPr>
          <w:ilvl w:val="0"/>
          <w:numId w:val="43"/>
        </w:numPr>
        <w:jc w:val="left"/>
        <w:rPr>
          <w:rFonts w:ascii="Arial" w:hAnsi="Arial" w:cs="Arial"/>
          <w:sz w:val="22"/>
          <w:szCs w:val="22"/>
        </w:rPr>
      </w:pPr>
      <w:r>
        <w:rPr>
          <w:rFonts w:ascii="Arial" w:hAnsi="Arial" w:cs="Arial"/>
          <w:sz w:val="22"/>
          <w:szCs w:val="22"/>
        </w:rPr>
        <w:t>Includes maps 3DCPO and 4DCPO in the list of planning scheme maps at Clause 61.03.</w:t>
      </w:r>
    </w:p>
    <w:p w:rsidR="00350E1A" w:rsidRPr="00350E1A" w:rsidRDefault="00350E1A" w:rsidP="00C3687E">
      <w:pPr>
        <w:pStyle w:val="ListParagraph"/>
        <w:numPr>
          <w:ilvl w:val="0"/>
          <w:numId w:val="43"/>
        </w:numPr>
        <w:jc w:val="left"/>
        <w:rPr>
          <w:rFonts w:ascii="Arial" w:hAnsi="Arial" w:cs="Arial"/>
          <w:sz w:val="22"/>
          <w:szCs w:val="22"/>
        </w:rPr>
      </w:pPr>
      <w:r>
        <w:rPr>
          <w:rFonts w:ascii="Arial" w:hAnsi="Arial" w:cs="Arial"/>
          <w:sz w:val="22"/>
          <w:szCs w:val="22"/>
        </w:rPr>
        <w:t xml:space="preserve">Incorporates the </w:t>
      </w:r>
      <w:r w:rsidRPr="0011206F">
        <w:rPr>
          <w:rFonts w:ascii="Arial" w:hAnsi="Arial" w:cs="Arial"/>
          <w:i/>
          <w:sz w:val="22"/>
          <w:szCs w:val="22"/>
        </w:rPr>
        <w:t>Altona North Comprehensive Development Plan</w:t>
      </w:r>
      <w:r w:rsidR="00C3687E">
        <w:rPr>
          <w:rFonts w:ascii="Arial" w:hAnsi="Arial" w:cs="Arial"/>
          <w:sz w:val="22"/>
          <w:szCs w:val="22"/>
        </w:rPr>
        <w:t xml:space="preserve"> </w:t>
      </w:r>
      <w:r w:rsidR="0018082E">
        <w:rPr>
          <w:rFonts w:ascii="Arial" w:hAnsi="Arial" w:cs="Arial"/>
          <w:i/>
          <w:sz w:val="22"/>
          <w:szCs w:val="22"/>
        </w:rPr>
        <w:t xml:space="preserve">June 2017 </w:t>
      </w:r>
      <w:r w:rsidR="00C3687E">
        <w:rPr>
          <w:rFonts w:ascii="Arial" w:hAnsi="Arial" w:cs="Arial"/>
          <w:sz w:val="22"/>
          <w:szCs w:val="22"/>
        </w:rPr>
        <w:t xml:space="preserve">and the </w:t>
      </w:r>
      <w:r w:rsidR="0011206F" w:rsidRPr="0011206F">
        <w:rPr>
          <w:rFonts w:ascii="Arial" w:hAnsi="Arial" w:cs="Arial"/>
          <w:i/>
          <w:sz w:val="22"/>
          <w:szCs w:val="22"/>
        </w:rPr>
        <w:t>Altona North Development Contributions Plan</w:t>
      </w:r>
      <w:r w:rsidR="0018082E">
        <w:rPr>
          <w:rFonts w:ascii="Arial" w:hAnsi="Arial" w:cs="Arial"/>
          <w:i/>
          <w:sz w:val="22"/>
          <w:szCs w:val="22"/>
        </w:rPr>
        <w:t xml:space="preserve"> June 2017</w:t>
      </w:r>
      <w:r w:rsidR="00C3687E">
        <w:rPr>
          <w:rFonts w:ascii="Arial" w:hAnsi="Arial" w:cs="Arial"/>
          <w:sz w:val="22"/>
          <w:szCs w:val="22"/>
        </w:rPr>
        <w:t xml:space="preserve"> by listing them in the Schedule to Clause 81.01.</w:t>
      </w:r>
    </w:p>
    <w:p w:rsidR="00E401A9" w:rsidRPr="00823BB7" w:rsidRDefault="00E401A9" w:rsidP="00E401A9">
      <w:pPr>
        <w:pStyle w:val="Heading2"/>
        <w:jc w:val="left"/>
        <w:rPr>
          <w:rFonts w:cs="Arial"/>
          <w:smallCaps/>
        </w:rPr>
      </w:pPr>
      <w:r w:rsidRPr="00823BB7">
        <w:rPr>
          <w:rFonts w:cs="Arial"/>
        </w:rPr>
        <w:t xml:space="preserve">Strategic assessment of the </w:t>
      </w:r>
      <w:r>
        <w:rPr>
          <w:rFonts w:cs="Arial"/>
        </w:rPr>
        <w:t>A</w:t>
      </w:r>
      <w:r w:rsidRPr="00823BB7">
        <w:rPr>
          <w:rFonts w:cs="Arial"/>
        </w:rPr>
        <w:t xml:space="preserve">mendment </w:t>
      </w:r>
    </w:p>
    <w:p w:rsidR="00E401A9" w:rsidRPr="00420A5B" w:rsidRDefault="00E401A9" w:rsidP="00E401A9">
      <w:pPr>
        <w:pStyle w:val="Heading3"/>
        <w:numPr>
          <w:ilvl w:val="0"/>
          <w:numId w:val="0"/>
        </w:numPr>
        <w:jc w:val="left"/>
        <w:rPr>
          <w:rFonts w:ascii="Arial" w:hAnsi="Arial" w:cs="Arial"/>
          <w:szCs w:val="24"/>
        </w:rPr>
      </w:pPr>
      <w:r>
        <w:rPr>
          <w:rFonts w:ascii="Arial" w:hAnsi="Arial" w:cs="Arial"/>
          <w:szCs w:val="24"/>
        </w:rPr>
        <w:t>Why is the A</w:t>
      </w:r>
      <w:r w:rsidRPr="00420A5B">
        <w:rPr>
          <w:rFonts w:ascii="Arial" w:hAnsi="Arial" w:cs="Arial"/>
          <w:szCs w:val="24"/>
        </w:rPr>
        <w:t>mendment required?</w:t>
      </w:r>
    </w:p>
    <w:p w:rsidR="008B6ADE" w:rsidRDefault="008B6ADE" w:rsidP="0011206F">
      <w:pPr>
        <w:jc w:val="left"/>
        <w:rPr>
          <w:rFonts w:ascii="Arial" w:hAnsi="Arial" w:cs="Arial"/>
          <w:sz w:val="22"/>
          <w:szCs w:val="22"/>
        </w:rPr>
      </w:pPr>
      <w:r>
        <w:rPr>
          <w:rFonts w:ascii="Arial" w:hAnsi="Arial" w:cs="Arial"/>
          <w:sz w:val="22"/>
          <w:szCs w:val="22"/>
        </w:rPr>
        <w:t xml:space="preserve">A </w:t>
      </w:r>
      <w:r w:rsidR="00CB3222">
        <w:rPr>
          <w:rFonts w:ascii="Arial" w:hAnsi="Arial" w:cs="Arial"/>
          <w:sz w:val="22"/>
          <w:szCs w:val="22"/>
        </w:rPr>
        <w:t>change in</w:t>
      </w:r>
      <w:r>
        <w:rPr>
          <w:rFonts w:ascii="Arial" w:hAnsi="Arial" w:cs="Arial"/>
          <w:sz w:val="22"/>
          <w:szCs w:val="22"/>
        </w:rPr>
        <w:t xml:space="preserve"> planning scheme zone is required to provide for use and development that is more suitable to the land’s current residential context. Industrial use of the land is no longer sustainable in the area in light of modern requirements for pollution control with regard to the close proximity of residential areas</w:t>
      </w:r>
      <w:r w:rsidR="00CB3222">
        <w:rPr>
          <w:rFonts w:ascii="Arial" w:hAnsi="Arial" w:cs="Arial"/>
          <w:sz w:val="22"/>
          <w:szCs w:val="22"/>
        </w:rPr>
        <w:t>,</w:t>
      </w:r>
      <w:r>
        <w:rPr>
          <w:rFonts w:ascii="Arial" w:hAnsi="Arial" w:cs="Arial"/>
          <w:sz w:val="22"/>
          <w:szCs w:val="22"/>
        </w:rPr>
        <w:t xml:space="preserve"> and a </w:t>
      </w:r>
      <w:r w:rsidR="00CB3222">
        <w:rPr>
          <w:rFonts w:ascii="Arial" w:hAnsi="Arial" w:cs="Arial"/>
          <w:sz w:val="22"/>
          <w:szCs w:val="22"/>
        </w:rPr>
        <w:t xml:space="preserve">local </w:t>
      </w:r>
      <w:r>
        <w:rPr>
          <w:rFonts w:ascii="Arial" w:hAnsi="Arial" w:cs="Arial"/>
          <w:sz w:val="22"/>
          <w:szCs w:val="22"/>
        </w:rPr>
        <w:t>road network that is not suitable to the larger vehicles used in contemporary industry.</w:t>
      </w:r>
    </w:p>
    <w:p w:rsidR="00B313E6" w:rsidRDefault="00B313E6" w:rsidP="0011206F">
      <w:pPr>
        <w:jc w:val="left"/>
        <w:rPr>
          <w:rFonts w:ascii="Arial" w:hAnsi="Arial" w:cs="Arial"/>
          <w:sz w:val="22"/>
          <w:szCs w:val="22"/>
        </w:rPr>
      </w:pPr>
      <w:r>
        <w:rPr>
          <w:rFonts w:ascii="Arial" w:hAnsi="Arial" w:cs="Arial"/>
          <w:sz w:val="22"/>
          <w:szCs w:val="22"/>
        </w:rPr>
        <w:t xml:space="preserve">A development contributions plan is required in order to fairly distribute the cost of new infrastructure both between the new development and the existing community </w:t>
      </w:r>
      <w:r w:rsidR="00CB3222">
        <w:rPr>
          <w:rFonts w:ascii="Arial" w:hAnsi="Arial" w:cs="Arial"/>
          <w:sz w:val="22"/>
          <w:szCs w:val="22"/>
        </w:rPr>
        <w:t xml:space="preserve">as well as </w:t>
      </w:r>
      <w:r>
        <w:rPr>
          <w:rFonts w:ascii="Arial" w:hAnsi="Arial" w:cs="Arial"/>
          <w:sz w:val="22"/>
          <w:szCs w:val="22"/>
        </w:rPr>
        <w:t xml:space="preserve">between the varying sized landholdings in the amendment area. </w:t>
      </w:r>
    </w:p>
    <w:p w:rsidR="00B313E6" w:rsidRDefault="00B313E6" w:rsidP="0011206F">
      <w:pPr>
        <w:jc w:val="left"/>
        <w:rPr>
          <w:rFonts w:ascii="Arial" w:hAnsi="Arial" w:cs="Arial"/>
          <w:sz w:val="22"/>
          <w:szCs w:val="22"/>
        </w:rPr>
      </w:pPr>
      <w:r>
        <w:rPr>
          <w:rFonts w:ascii="Arial" w:hAnsi="Arial" w:cs="Arial"/>
          <w:sz w:val="22"/>
          <w:szCs w:val="22"/>
        </w:rPr>
        <w:t>An Environmental Audit Overlay is required to prevent establishment of new homes until such time as residual land contamination from historical industrial practices is remediated.</w:t>
      </w:r>
      <w:r w:rsidR="0011206F">
        <w:rPr>
          <w:rFonts w:ascii="Arial" w:hAnsi="Arial" w:cs="Arial"/>
          <w:sz w:val="22"/>
          <w:szCs w:val="22"/>
        </w:rPr>
        <w:t xml:space="preserve"> </w:t>
      </w:r>
    </w:p>
    <w:p w:rsidR="00E401A9" w:rsidRPr="006109DA" w:rsidRDefault="00B313E6" w:rsidP="00B313E6">
      <w:pPr>
        <w:jc w:val="left"/>
        <w:rPr>
          <w:rFonts w:ascii="Arial" w:hAnsi="Arial" w:cs="Arial"/>
          <w:sz w:val="22"/>
          <w:szCs w:val="22"/>
        </w:rPr>
      </w:pPr>
      <w:r>
        <w:rPr>
          <w:rFonts w:ascii="Arial" w:hAnsi="Arial" w:cs="Arial"/>
          <w:sz w:val="22"/>
          <w:szCs w:val="22"/>
        </w:rPr>
        <w:t>T</w:t>
      </w:r>
      <w:r w:rsidR="0011206F">
        <w:rPr>
          <w:rFonts w:ascii="Arial" w:hAnsi="Arial" w:cs="Arial"/>
          <w:sz w:val="22"/>
          <w:szCs w:val="22"/>
        </w:rPr>
        <w:t xml:space="preserve">he </w:t>
      </w:r>
      <w:r>
        <w:rPr>
          <w:rFonts w:ascii="Arial" w:hAnsi="Arial" w:cs="Arial"/>
          <w:sz w:val="22"/>
          <w:szCs w:val="22"/>
        </w:rPr>
        <w:t xml:space="preserve">Heritage Overlay on part of the land is </w:t>
      </w:r>
      <w:r w:rsidR="0011206F">
        <w:rPr>
          <w:rFonts w:ascii="Arial" w:hAnsi="Arial" w:cs="Arial"/>
          <w:sz w:val="22"/>
          <w:szCs w:val="22"/>
        </w:rPr>
        <w:t xml:space="preserve">redundant </w:t>
      </w:r>
      <w:r>
        <w:rPr>
          <w:rFonts w:ascii="Arial" w:hAnsi="Arial" w:cs="Arial"/>
          <w:sz w:val="22"/>
          <w:szCs w:val="22"/>
        </w:rPr>
        <w:t>and should be removed</w:t>
      </w:r>
      <w:r w:rsidR="0011206F">
        <w:rPr>
          <w:rFonts w:ascii="Arial" w:hAnsi="Arial" w:cs="Arial"/>
          <w:sz w:val="22"/>
          <w:szCs w:val="22"/>
        </w:rPr>
        <w:t>.</w:t>
      </w:r>
    </w:p>
    <w:p w:rsidR="00E401A9" w:rsidRPr="00420A5B" w:rsidRDefault="00E401A9" w:rsidP="00E401A9">
      <w:pPr>
        <w:pStyle w:val="Heading3"/>
        <w:numPr>
          <w:ilvl w:val="0"/>
          <w:numId w:val="0"/>
        </w:numPr>
        <w:jc w:val="left"/>
        <w:rPr>
          <w:rFonts w:ascii="Arial" w:hAnsi="Arial" w:cs="Arial"/>
          <w:szCs w:val="24"/>
        </w:rPr>
      </w:pPr>
      <w:r>
        <w:rPr>
          <w:rFonts w:ascii="Arial" w:hAnsi="Arial" w:cs="Arial"/>
          <w:szCs w:val="24"/>
        </w:rPr>
        <w:t>How does the A</w:t>
      </w:r>
      <w:r w:rsidRPr="00420A5B">
        <w:rPr>
          <w:rFonts w:ascii="Arial" w:hAnsi="Arial" w:cs="Arial"/>
          <w:szCs w:val="24"/>
        </w:rPr>
        <w:t>mendment implement the objectives of planning in Victoria?</w:t>
      </w:r>
    </w:p>
    <w:p w:rsidR="00E401A9" w:rsidRDefault="00B313E6" w:rsidP="00E401A9">
      <w:pPr>
        <w:pStyle w:val="StrategicAssessmentText"/>
        <w:ind w:left="0"/>
        <w:jc w:val="left"/>
        <w:rPr>
          <w:rFonts w:ascii="Arial" w:hAnsi="Arial" w:cs="Arial"/>
          <w:sz w:val="22"/>
          <w:szCs w:val="22"/>
        </w:rPr>
      </w:pPr>
      <w:r>
        <w:rPr>
          <w:rFonts w:ascii="Arial" w:hAnsi="Arial" w:cs="Arial"/>
          <w:sz w:val="22"/>
          <w:szCs w:val="22"/>
        </w:rPr>
        <w:t xml:space="preserve">The amendment facilitates </w:t>
      </w:r>
      <w:r w:rsidR="00224F4B">
        <w:rPr>
          <w:rFonts w:ascii="Arial" w:hAnsi="Arial" w:cs="Arial"/>
          <w:sz w:val="22"/>
          <w:szCs w:val="22"/>
        </w:rPr>
        <w:t>development in accordance with the objective</w:t>
      </w:r>
      <w:r w:rsidR="00741E5E">
        <w:rPr>
          <w:rFonts w:ascii="Arial" w:hAnsi="Arial" w:cs="Arial"/>
          <w:sz w:val="22"/>
          <w:szCs w:val="22"/>
        </w:rPr>
        <w:t>s</w:t>
      </w:r>
      <w:r w:rsidR="00224F4B">
        <w:rPr>
          <w:rFonts w:ascii="Arial" w:hAnsi="Arial" w:cs="Arial"/>
          <w:sz w:val="22"/>
          <w:szCs w:val="22"/>
        </w:rPr>
        <w:t xml:space="preserve"> of planning in Victoria by:</w:t>
      </w:r>
    </w:p>
    <w:p w:rsidR="00224F4B" w:rsidRDefault="00224F4B"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t>Distributing development rights in a fair manner across the amendment area</w:t>
      </w:r>
      <w:r w:rsidR="00741E5E">
        <w:rPr>
          <w:rFonts w:ascii="Arial" w:hAnsi="Arial" w:cs="Arial"/>
          <w:sz w:val="22"/>
          <w:szCs w:val="22"/>
        </w:rPr>
        <w:t>.</w:t>
      </w:r>
      <w:r>
        <w:rPr>
          <w:rFonts w:ascii="Arial" w:hAnsi="Arial" w:cs="Arial"/>
          <w:sz w:val="22"/>
          <w:szCs w:val="22"/>
        </w:rPr>
        <w:t xml:space="preserve"> </w:t>
      </w:r>
    </w:p>
    <w:p w:rsidR="00741E5E" w:rsidRDefault="00741E5E"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t>Providing for use and development that is more economic and sustainable with regard to the land’s location and context.</w:t>
      </w:r>
    </w:p>
    <w:p w:rsidR="00224F4B" w:rsidRDefault="00224F4B"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lastRenderedPageBreak/>
        <w:t xml:space="preserve">Providing for the orderly </w:t>
      </w:r>
      <w:r w:rsidR="00741E5E">
        <w:rPr>
          <w:rFonts w:ascii="Arial" w:hAnsi="Arial" w:cs="Arial"/>
          <w:sz w:val="22"/>
          <w:szCs w:val="22"/>
        </w:rPr>
        <w:t xml:space="preserve">arrangement of land use and development in </w:t>
      </w:r>
      <w:r>
        <w:rPr>
          <w:rFonts w:ascii="Arial" w:hAnsi="Arial" w:cs="Arial"/>
          <w:sz w:val="22"/>
          <w:szCs w:val="22"/>
        </w:rPr>
        <w:t>the area</w:t>
      </w:r>
      <w:r w:rsidR="00741E5E">
        <w:rPr>
          <w:rFonts w:ascii="Arial" w:hAnsi="Arial" w:cs="Arial"/>
          <w:sz w:val="22"/>
          <w:szCs w:val="22"/>
        </w:rPr>
        <w:t xml:space="preserve"> and its orderly integration with the surrounding area.</w:t>
      </w:r>
    </w:p>
    <w:p w:rsidR="00A01C72" w:rsidRDefault="00A01C72"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t xml:space="preserve">Providing </w:t>
      </w:r>
      <w:r w:rsidR="00741E5E">
        <w:rPr>
          <w:rFonts w:ascii="Arial" w:hAnsi="Arial" w:cs="Arial"/>
          <w:sz w:val="22"/>
          <w:szCs w:val="22"/>
        </w:rPr>
        <w:t xml:space="preserve">a pleasant, efficient and safe </w:t>
      </w:r>
      <w:r>
        <w:rPr>
          <w:rFonts w:ascii="Arial" w:hAnsi="Arial" w:cs="Arial"/>
          <w:sz w:val="22"/>
          <w:szCs w:val="22"/>
        </w:rPr>
        <w:t xml:space="preserve">living environment </w:t>
      </w:r>
      <w:r w:rsidR="00741E5E">
        <w:rPr>
          <w:rFonts w:ascii="Arial" w:hAnsi="Arial" w:cs="Arial"/>
          <w:sz w:val="22"/>
          <w:szCs w:val="22"/>
        </w:rPr>
        <w:t xml:space="preserve">by </w:t>
      </w:r>
      <w:r>
        <w:rPr>
          <w:rFonts w:ascii="Arial" w:hAnsi="Arial" w:cs="Arial"/>
          <w:sz w:val="22"/>
          <w:szCs w:val="22"/>
        </w:rPr>
        <w:t xml:space="preserve">including new local parks </w:t>
      </w:r>
      <w:r w:rsidR="00741E5E">
        <w:rPr>
          <w:rFonts w:ascii="Arial" w:hAnsi="Arial" w:cs="Arial"/>
          <w:sz w:val="22"/>
          <w:szCs w:val="22"/>
        </w:rPr>
        <w:t xml:space="preserve">and well-connected </w:t>
      </w:r>
      <w:r>
        <w:rPr>
          <w:rFonts w:ascii="Arial" w:hAnsi="Arial" w:cs="Arial"/>
          <w:sz w:val="22"/>
          <w:szCs w:val="22"/>
        </w:rPr>
        <w:t>streets with enough space for cars, pedestrians and cyclists and landscaping.</w:t>
      </w:r>
    </w:p>
    <w:p w:rsidR="00224F4B" w:rsidRDefault="00741E5E"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t>Protecting the ability of the West Gate Freeway and adjacent rail line to continue operating unimpeded by requiring noise and vibration protection for new dwellings.</w:t>
      </w:r>
    </w:p>
    <w:p w:rsidR="00741E5E" w:rsidRDefault="00741E5E"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t>Protecting the integrity of nearby gas and fuel transmission lines from any impacts of new use and development.</w:t>
      </w:r>
    </w:p>
    <w:p w:rsidR="00741E5E" w:rsidRPr="00F27102" w:rsidRDefault="00741E5E" w:rsidP="00741E5E">
      <w:pPr>
        <w:pStyle w:val="StrategicAssessmentText"/>
        <w:numPr>
          <w:ilvl w:val="0"/>
          <w:numId w:val="44"/>
        </w:numPr>
        <w:ind w:left="426"/>
        <w:jc w:val="left"/>
        <w:rPr>
          <w:rFonts w:ascii="Arial" w:hAnsi="Arial" w:cs="Arial"/>
          <w:sz w:val="22"/>
          <w:szCs w:val="22"/>
        </w:rPr>
      </w:pPr>
      <w:r>
        <w:rPr>
          <w:rFonts w:ascii="Arial" w:hAnsi="Arial" w:cs="Arial"/>
          <w:sz w:val="22"/>
          <w:szCs w:val="22"/>
        </w:rPr>
        <w:t>Protecting the existing Melbourne Water main drain through the precinct and the currently disused fuel transmission line under Blackshaws Road from development and construction impacts.</w:t>
      </w:r>
    </w:p>
    <w:p w:rsidR="00E401A9" w:rsidRDefault="00E401A9" w:rsidP="00E401A9">
      <w:pPr>
        <w:pStyle w:val="Heading3"/>
        <w:numPr>
          <w:ilvl w:val="0"/>
          <w:numId w:val="0"/>
        </w:numPr>
        <w:jc w:val="left"/>
        <w:rPr>
          <w:rFonts w:ascii="Arial" w:hAnsi="Arial" w:cs="Arial"/>
          <w:szCs w:val="24"/>
        </w:rPr>
      </w:pPr>
      <w:r>
        <w:rPr>
          <w:rFonts w:ascii="Arial" w:hAnsi="Arial" w:cs="Arial"/>
          <w:szCs w:val="24"/>
        </w:rPr>
        <w:t>How does the A</w:t>
      </w:r>
      <w:r w:rsidRPr="00646305">
        <w:rPr>
          <w:rFonts w:ascii="Arial" w:hAnsi="Arial" w:cs="Arial"/>
          <w:szCs w:val="24"/>
        </w:rPr>
        <w:t>mendment address any environmenta</w:t>
      </w:r>
      <w:r>
        <w:rPr>
          <w:rFonts w:ascii="Arial" w:hAnsi="Arial" w:cs="Arial"/>
          <w:szCs w:val="24"/>
        </w:rPr>
        <w:t>l, social and economic effects?</w:t>
      </w:r>
    </w:p>
    <w:p w:rsidR="00E401A9" w:rsidRDefault="002C3F0E" w:rsidP="00E401A9">
      <w:pPr>
        <w:pStyle w:val="StrategicAssessmentText"/>
        <w:ind w:left="0"/>
        <w:jc w:val="left"/>
        <w:rPr>
          <w:rFonts w:ascii="Arial" w:hAnsi="Arial" w:cs="Arial"/>
          <w:sz w:val="22"/>
          <w:szCs w:val="22"/>
        </w:rPr>
      </w:pPr>
      <w:r w:rsidRPr="002C3F0E">
        <w:rPr>
          <w:rFonts w:ascii="Arial" w:hAnsi="Arial" w:cs="Arial"/>
          <w:i/>
          <w:sz w:val="22"/>
          <w:szCs w:val="22"/>
        </w:rPr>
        <w:t>Potential contamination from industrial uses</w:t>
      </w:r>
      <w:r>
        <w:rPr>
          <w:rFonts w:ascii="Arial" w:hAnsi="Arial" w:cs="Arial"/>
          <w:sz w:val="22"/>
          <w:szCs w:val="22"/>
        </w:rPr>
        <w:t xml:space="preserve">: The Environmental Audit Overlay is applied to all land which does not yet have a Certificate or Statement of Environmental Audit under the </w:t>
      </w:r>
      <w:r>
        <w:rPr>
          <w:rFonts w:ascii="Arial" w:hAnsi="Arial" w:cs="Arial"/>
          <w:i/>
          <w:sz w:val="22"/>
          <w:szCs w:val="22"/>
        </w:rPr>
        <w:t>Environment Protection Act 1970</w:t>
      </w:r>
      <w:r>
        <w:rPr>
          <w:rFonts w:ascii="Arial" w:hAnsi="Arial" w:cs="Arial"/>
          <w:sz w:val="22"/>
          <w:szCs w:val="22"/>
        </w:rPr>
        <w:t>. The overlay requires a Certificate or Statement of Environmental Audit to be issued before residential uses can commence.</w:t>
      </w:r>
    </w:p>
    <w:p w:rsidR="002C3F0E" w:rsidRDefault="002C3F0E" w:rsidP="00E401A9">
      <w:pPr>
        <w:pStyle w:val="StrategicAssessmentText"/>
        <w:ind w:left="0"/>
        <w:jc w:val="left"/>
        <w:rPr>
          <w:rFonts w:ascii="Arial" w:hAnsi="Arial" w:cs="Arial"/>
          <w:sz w:val="22"/>
          <w:szCs w:val="22"/>
        </w:rPr>
      </w:pPr>
      <w:r>
        <w:rPr>
          <w:rFonts w:ascii="Arial" w:hAnsi="Arial" w:cs="Arial"/>
          <w:i/>
          <w:sz w:val="22"/>
          <w:szCs w:val="22"/>
        </w:rPr>
        <w:t>Noise and vibration emissions from nearby rail and freeway operations</w:t>
      </w:r>
      <w:r w:rsidR="00CD1B93">
        <w:rPr>
          <w:rFonts w:ascii="Arial" w:hAnsi="Arial" w:cs="Arial"/>
          <w:i/>
          <w:sz w:val="22"/>
          <w:szCs w:val="22"/>
        </w:rPr>
        <w:t xml:space="preserve"> and continuing industrial operations</w:t>
      </w:r>
      <w:r>
        <w:rPr>
          <w:rFonts w:ascii="Arial" w:hAnsi="Arial" w:cs="Arial"/>
          <w:i/>
          <w:sz w:val="22"/>
          <w:szCs w:val="22"/>
        </w:rPr>
        <w:t>:</w:t>
      </w:r>
      <w:r>
        <w:rPr>
          <w:rFonts w:ascii="Arial" w:hAnsi="Arial" w:cs="Arial"/>
          <w:sz w:val="22"/>
          <w:szCs w:val="22"/>
        </w:rPr>
        <w:t xml:space="preserve"> </w:t>
      </w:r>
      <w:r w:rsidR="00CD1B93">
        <w:rPr>
          <w:rFonts w:ascii="Arial" w:hAnsi="Arial" w:cs="Arial"/>
          <w:sz w:val="22"/>
          <w:szCs w:val="22"/>
        </w:rPr>
        <w:t>New development must be laid out and constructed so as ameliorate noise, air and vibration emissions so not to unreasonably constrain the ongoing operation of the adjacent freeway, rail way and any continuing industrial operations in the amendment area and protect the amenity of new residents.</w:t>
      </w:r>
    </w:p>
    <w:p w:rsidR="002C3F0E" w:rsidRDefault="002C3F0E" w:rsidP="00E401A9">
      <w:pPr>
        <w:pStyle w:val="StrategicAssessmentText"/>
        <w:ind w:left="0"/>
        <w:jc w:val="left"/>
        <w:rPr>
          <w:rFonts w:ascii="Arial" w:hAnsi="Arial" w:cs="Arial"/>
          <w:sz w:val="22"/>
          <w:szCs w:val="22"/>
        </w:rPr>
      </w:pPr>
      <w:r>
        <w:rPr>
          <w:rFonts w:ascii="Arial" w:hAnsi="Arial" w:cs="Arial"/>
          <w:i/>
          <w:sz w:val="22"/>
          <w:szCs w:val="22"/>
        </w:rPr>
        <w:t>Water</w:t>
      </w:r>
      <w:r>
        <w:rPr>
          <w:rFonts w:ascii="Arial" w:hAnsi="Arial" w:cs="Arial"/>
          <w:sz w:val="22"/>
          <w:szCs w:val="22"/>
        </w:rPr>
        <w:t xml:space="preserve">: </w:t>
      </w:r>
      <w:r w:rsidR="00F42783">
        <w:rPr>
          <w:rFonts w:ascii="Arial" w:hAnsi="Arial" w:cs="Arial"/>
          <w:sz w:val="22"/>
          <w:szCs w:val="22"/>
        </w:rPr>
        <w:t>the amendment requires land to be properly drained in accordance with the requirements of the drainage authority.</w:t>
      </w:r>
    </w:p>
    <w:p w:rsidR="00F42783" w:rsidRDefault="00F42783" w:rsidP="00E401A9">
      <w:pPr>
        <w:pStyle w:val="StrategicAssessmentText"/>
        <w:ind w:left="0"/>
        <w:jc w:val="left"/>
        <w:rPr>
          <w:rFonts w:ascii="Arial" w:hAnsi="Arial" w:cs="Arial"/>
          <w:sz w:val="22"/>
          <w:szCs w:val="22"/>
        </w:rPr>
      </w:pPr>
      <w:r>
        <w:rPr>
          <w:rFonts w:ascii="Arial" w:hAnsi="Arial" w:cs="Arial"/>
          <w:i/>
          <w:sz w:val="22"/>
          <w:szCs w:val="22"/>
        </w:rPr>
        <w:t xml:space="preserve">Environment: </w:t>
      </w:r>
      <w:r>
        <w:rPr>
          <w:rFonts w:ascii="Arial" w:hAnsi="Arial" w:cs="Arial"/>
          <w:sz w:val="22"/>
          <w:szCs w:val="22"/>
        </w:rPr>
        <w:t>New development must provide landscaping of new public roads and other public spaces to ensure local climatic conditions are moderated. Properly formed footpaths and cycle paths connected to the existing network are also required to be constructed to provide options for non-motorised transport. Sustainable development practices are encouraged through requirements for sustainability management plans.</w:t>
      </w:r>
      <w:r w:rsidR="00E144CC">
        <w:rPr>
          <w:rFonts w:ascii="Arial" w:hAnsi="Arial" w:cs="Arial"/>
          <w:sz w:val="22"/>
          <w:szCs w:val="22"/>
        </w:rPr>
        <w:t xml:space="preserve"> </w:t>
      </w:r>
    </w:p>
    <w:p w:rsidR="00F42783" w:rsidRDefault="00F42783" w:rsidP="00E401A9">
      <w:pPr>
        <w:pStyle w:val="StrategicAssessmentText"/>
        <w:ind w:left="0"/>
        <w:jc w:val="left"/>
        <w:rPr>
          <w:rFonts w:ascii="Arial" w:hAnsi="Arial" w:cs="Arial"/>
          <w:sz w:val="22"/>
          <w:szCs w:val="22"/>
        </w:rPr>
      </w:pPr>
      <w:r>
        <w:rPr>
          <w:rFonts w:ascii="Arial" w:hAnsi="Arial" w:cs="Arial"/>
          <w:i/>
          <w:sz w:val="22"/>
          <w:szCs w:val="22"/>
        </w:rPr>
        <w:t>Economic effects</w:t>
      </w:r>
      <w:r>
        <w:rPr>
          <w:rFonts w:ascii="Arial" w:hAnsi="Arial" w:cs="Arial"/>
          <w:sz w:val="22"/>
          <w:szCs w:val="22"/>
        </w:rPr>
        <w:t xml:space="preserve">: The rezoning of the land for </w:t>
      </w:r>
      <w:r w:rsidR="00CB3222">
        <w:rPr>
          <w:rFonts w:ascii="Arial" w:hAnsi="Arial" w:cs="Arial"/>
          <w:sz w:val="22"/>
          <w:szCs w:val="22"/>
        </w:rPr>
        <w:t xml:space="preserve">a </w:t>
      </w:r>
      <w:r>
        <w:rPr>
          <w:rFonts w:ascii="Arial" w:hAnsi="Arial" w:cs="Arial"/>
          <w:sz w:val="22"/>
          <w:szCs w:val="22"/>
        </w:rPr>
        <w:t>mix of urban uses will enable the land to be used and developed for its most economic use with regard to its strategic context. Provision is made for local shops, offices and other services within the precinct to allow for local scale economic activity and employment</w:t>
      </w:r>
      <w:r w:rsidR="005A4411">
        <w:rPr>
          <w:rFonts w:ascii="Arial" w:hAnsi="Arial" w:cs="Arial"/>
          <w:sz w:val="22"/>
          <w:szCs w:val="22"/>
        </w:rPr>
        <w:t xml:space="preserve"> suitable to the site’s situation</w:t>
      </w:r>
      <w:r>
        <w:rPr>
          <w:rFonts w:ascii="Arial" w:hAnsi="Arial" w:cs="Arial"/>
          <w:sz w:val="22"/>
          <w:szCs w:val="22"/>
        </w:rPr>
        <w:t xml:space="preserve">. </w:t>
      </w:r>
    </w:p>
    <w:p w:rsidR="00F42783" w:rsidRPr="00F42783" w:rsidRDefault="00F42783" w:rsidP="00E401A9">
      <w:pPr>
        <w:pStyle w:val="StrategicAssessmentText"/>
        <w:ind w:left="0"/>
        <w:jc w:val="left"/>
        <w:rPr>
          <w:rFonts w:ascii="Arial" w:hAnsi="Arial" w:cs="Arial"/>
          <w:sz w:val="22"/>
          <w:szCs w:val="22"/>
        </w:rPr>
      </w:pPr>
      <w:r>
        <w:rPr>
          <w:rFonts w:ascii="Arial" w:hAnsi="Arial" w:cs="Arial"/>
          <w:i/>
          <w:sz w:val="22"/>
          <w:szCs w:val="22"/>
        </w:rPr>
        <w:t>Social effects</w:t>
      </w:r>
      <w:r>
        <w:rPr>
          <w:rFonts w:ascii="Arial" w:hAnsi="Arial" w:cs="Arial"/>
          <w:sz w:val="22"/>
          <w:szCs w:val="22"/>
        </w:rPr>
        <w:t xml:space="preserve">: The increase in the local population that the amendment will allow is accompanied by a </w:t>
      </w:r>
      <w:r w:rsidR="005A4411">
        <w:rPr>
          <w:rFonts w:ascii="Arial" w:hAnsi="Arial" w:cs="Arial"/>
          <w:sz w:val="22"/>
          <w:szCs w:val="22"/>
        </w:rPr>
        <w:t xml:space="preserve">financial </w:t>
      </w:r>
      <w:r>
        <w:rPr>
          <w:rFonts w:ascii="Arial" w:hAnsi="Arial" w:cs="Arial"/>
          <w:sz w:val="22"/>
          <w:szCs w:val="22"/>
        </w:rPr>
        <w:t xml:space="preserve">contribution towards local infrastructure requirements from </w:t>
      </w:r>
      <w:r w:rsidR="005A4411">
        <w:rPr>
          <w:rFonts w:ascii="Arial" w:hAnsi="Arial" w:cs="Arial"/>
          <w:sz w:val="22"/>
          <w:szCs w:val="22"/>
        </w:rPr>
        <w:t xml:space="preserve">developers and </w:t>
      </w:r>
      <w:r>
        <w:rPr>
          <w:rFonts w:ascii="Arial" w:hAnsi="Arial" w:cs="Arial"/>
          <w:sz w:val="22"/>
          <w:szCs w:val="22"/>
        </w:rPr>
        <w:t xml:space="preserve">new </w:t>
      </w:r>
      <w:r w:rsidR="005A4411">
        <w:rPr>
          <w:rFonts w:ascii="Arial" w:hAnsi="Arial" w:cs="Arial"/>
          <w:sz w:val="22"/>
          <w:szCs w:val="22"/>
        </w:rPr>
        <w:t>residents</w:t>
      </w:r>
      <w:r>
        <w:rPr>
          <w:rFonts w:ascii="Arial" w:hAnsi="Arial" w:cs="Arial"/>
          <w:sz w:val="22"/>
          <w:szCs w:val="22"/>
        </w:rPr>
        <w:t>. The amendment is likely to provide for a more diverse social setting by bringing a greater mix of housing choice to the area including housing that is affordable to a greater range of households.</w:t>
      </w:r>
    </w:p>
    <w:p w:rsidR="00E401A9" w:rsidRPr="0047628B" w:rsidRDefault="00E401A9" w:rsidP="00E401A9">
      <w:pPr>
        <w:pStyle w:val="Heading3"/>
        <w:numPr>
          <w:ilvl w:val="0"/>
          <w:numId w:val="0"/>
        </w:numPr>
        <w:jc w:val="left"/>
        <w:rPr>
          <w:rFonts w:ascii="Arial" w:hAnsi="Arial" w:cs="Arial"/>
          <w:szCs w:val="24"/>
        </w:rPr>
      </w:pPr>
      <w:r>
        <w:rPr>
          <w:rFonts w:ascii="Arial" w:hAnsi="Arial" w:cs="Arial"/>
          <w:szCs w:val="24"/>
        </w:rPr>
        <w:t>Does the A</w:t>
      </w:r>
      <w:r w:rsidRPr="0047628B">
        <w:rPr>
          <w:rFonts w:ascii="Arial" w:hAnsi="Arial" w:cs="Arial"/>
          <w:szCs w:val="24"/>
        </w:rPr>
        <w:t>mendment address relevant bushfire risk?</w:t>
      </w:r>
    </w:p>
    <w:p w:rsidR="00E401A9" w:rsidRPr="00F27102" w:rsidRDefault="00807769" w:rsidP="00E401A9">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There are no relevant bushfire risks in</w:t>
      </w:r>
      <w:r w:rsidR="007B013B">
        <w:rPr>
          <w:rFonts w:ascii="Arial" w:hAnsi="Arial" w:cs="Arial"/>
          <w:snapToGrid w:val="0"/>
          <w:sz w:val="22"/>
          <w:szCs w:val="22"/>
          <w:lang w:eastAsia="en-US"/>
        </w:rPr>
        <w:t xml:space="preserve"> or around</w:t>
      </w:r>
      <w:r>
        <w:rPr>
          <w:rFonts w:ascii="Arial" w:hAnsi="Arial" w:cs="Arial"/>
          <w:snapToGrid w:val="0"/>
          <w:sz w:val="22"/>
          <w:szCs w:val="22"/>
          <w:lang w:eastAsia="en-US"/>
        </w:rPr>
        <w:t xml:space="preserve"> the amendment area.</w:t>
      </w:r>
    </w:p>
    <w:p w:rsidR="00E401A9" w:rsidRPr="00420A5B" w:rsidRDefault="00E401A9" w:rsidP="00E401A9">
      <w:pPr>
        <w:pStyle w:val="Heading3"/>
        <w:numPr>
          <w:ilvl w:val="0"/>
          <w:numId w:val="0"/>
        </w:numPr>
        <w:jc w:val="left"/>
        <w:rPr>
          <w:rFonts w:ascii="Arial" w:hAnsi="Arial" w:cs="Arial"/>
          <w:szCs w:val="24"/>
        </w:rPr>
      </w:pPr>
      <w:r>
        <w:rPr>
          <w:rFonts w:ascii="Arial" w:hAnsi="Arial" w:cs="Arial"/>
          <w:szCs w:val="24"/>
        </w:rPr>
        <w:t>Does the A</w:t>
      </w:r>
      <w:r w:rsidRPr="00420A5B">
        <w:rPr>
          <w:rFonts w:ascii="Arial" w:hAnsi="Arial" w:cs="Arial"/>
          <w:szCs w:val="24"/>
        </w:rPr>
        <w:t>mendment comply with the requirements of any Minister’s Direction applicable to the amendment?</w:t>
      </w:r>
    </w:p>
    <w:p w:rsidR="00807769" w:rsidRPr="00EB48D3" w:rsidRDefault="00807769" w:rsidP="00D23580">
      <w:pPr>
        <w:pStyle w:val="StrategicAssessmentText"/>
        <w:ind w:left="0"/>
        <w:jc w:val="left"/>
        <w:rPr>
          <w:rFonts w:ascii="Arial" w:hAnsi="Arial" w:cs="Arial"/>
          <w:i/>
          <w:sz w:val="22"/>
          <w:szCs w:val="22"/>
        </w:rPr>
      </w:pPr>
      <w:r w:rsidRPr="00EB48D3">
        <w:rPr>
          <w:rFonts w:ascii="Arial" w:hAnsi="Arial" w:cs="Arial"/>
          <w:i/>
          <w:sz w:val="22"/>
          <w:szCs w:val="22"/>
        </w:rPr>
        <w:t xml:space="preserve">Ministerial Direction - The Form and Content of Planning Schemes </w:t>
      </w:r>
    </w:p>
    <w:p w:rsidR="00EB48D3" w:rsidRDefault="00CB3222" w:rsidP="00D23580">
      <w:pPr>
        <w:pStyle w:val="StrategicAssessmentText"/>
        <w:ind w:left="0"/>
        <w:jc w:val="left"/>
        <w:rPr>
          <w:rFonts w:ascii="Arial" w:hAnsi="Arial" w:cs="Arial"/>
          <w:sz w:val="22"/>
          <w:szCs w:val="22"/>
        </w:rPr>
      </w:pPr>
      <w:r>
        <w:rPr>
          <w:rFonts w:ascii="Arial" w:hAnsi="Arial" w:cs="Arial"/>
          <w:sz w:val="22"/>
          <w:szCs w:val="22"/>
        </w:rPr>
        <w:t>The amendment</w:t>
      </w:r>
      <w:r w:rsidR="00EB48D3">
        <w:rPr>
          <w:rFonts w:ascii="Arial" w:hAnsi="Arial" w:cs="Arial"/>
          <w:sz w:val="22"/>
          <w:szCs w:val="22"/>
        </w:rPr>
        <w:t xml:space="preserve"> is </w:t>
      </w:r>
      <w:r w:rsidR="00EB48D3" w:rsidRPr="00EB48D3">
        <w:rPr>
          <w:rFonts w:ascii="Arial" w:hAnsi="Arial" w:cs="Arial"/>
          <w:sz w:val="22"/>
          <w:szCs w:val="22"/>
        </w:rPr>
        <w:t>prepared and presented</w:t>
      </w:r>
      <w:r w:rsidR="00EB48D3">
        <w:rPr>
          <w:rFonts w:ascii="Arial" w:hAnsi="Arial" w:cs="Arial"/>
          <w:sz w:val="22"/>
          <w:szCs w:val="22"/>
        </w:rPr>
        <w:t xml:space="preserve"> in accordance with the style guide and drafting instructions in the direction. The amendment only includes provisions from the VPPs.</w:t>
      </w:r>
    </w:p>
    <w:p w:rsidR="00807769" w:rsidRPr="00EB48D3" w:rsidRDefault="00807769" w:rsidP="00D23580">
      <w:pPr>
        <w:pStyle w:val="StrategicAssessmentText"/>
        <w:ind w:left="0"/>
        <w:jc w:val="left"/>
        <w:rPr>
          <w:rFonts w:ascii="Arial" w:hAnsi="Arial" w:cs="Arial"/>
          <w:i/>
          <w:sz w:val="22"/>
          <w:szCs w:val="22"/>
        </w:rPr>
      </w:pPr>
      <w:r w:rsidRPr="00EB48D3">
        <w:rPr>
          <w:rFonts w:ascii="Arial" w:hAnsi="Arial" w:cs="Arial"/>
          <w:i/>
          <w:sz w:val="22"/>
          <w:szCs w:val="22"/>
        </w:rPr>
        <w:lastRenderedPageBreak/>
        <w:t xml:space="preserve">Direction No. 1 Potentially Contaminated Land </w:t>
      </w:r>
    </w:p>
    <w:p w:rsidR="00EB48D3" w:rsidRPr="001D09C5" w:rsidRDefault="001D09C5" w:rsidP="00D23580">
      <w:pPr>
        <w:pStyle w:val="StrategicAssessmentText"/>
        <w:ind w:left="0"/>
        <w:jc w:val="left"/>
        <w:rPr>
          <w:rFonts w:ascii="Arial" w:hAnsi="Arial" w:cs="Arial"/>
          <w:sz w:val="22"/>
          <w:szCs w:val="22"/>
        </w:rPr>
      </w:pPr>
      <w:r>
        <w:rPr>
          <w:rFonts w:ascii="Arial" w:hAnsi="Arial" w:cs="Arial"/>
          <w:sz w:val="22"/>
          <w:szCs w:val="22"/>
        </w:rPr>
        <w:t xml:space="preserve">As the land has been intensively use for industry and is proposed for residential use, the amendment applies the Environmental Audit Overlay to all land which does not yet have a Certificate or Statement of Environmental Audit under the </w:t>
      </w:r>
      <w:r>
        <w:rPr>
          <w:rFonts w:ascii="Arial" w:hAnsi="Arial" w:cs="Arial"/>
          <w:i/>
          <w:sz w:val="22"/>
          <w:szCs w:val="22"/>
        </w:rPr>
        <w:t>Environment Protection Act 1970</w:t>
      </w:r>
      <w:r>
        <w:rPr>
          <w:rFonts w:ascii="Arial" w:hAnsi="Arial" w:cs="Arial"/>
          <w:sz w:val="22"/>
          <w:szCs w:val="22"/>
        </w:rPr>
        <w:t xml:space="preserve">. The overlay requires a </w:t>
      </w:r>
      <w:r w:rsidR="001E4163">
        <w:rPr>
          <w:rFonts w:ascii="Arial" w:hAnsi="Arial" w:cs="Arial"/>
          <w:sz w:val="22"/>
          <w:szCs w:val="22"/>
        </w:rPr>
        <w:t>C</w:t>
      </w:r>
      <w:r>
        <w:rPr>
          <w:rFonts w:ascii="Arial" w:hAnsi="Arial" w:cs="Arial"/>
          <w:sz w:val="22"/>
          <w:szCs w:val="22"/>
        </w:rPr>
        <w:t xml:space="preserve">ertificate or </w:t>
      </w:r>
      <w:r w:rsidR="001E4163">
        <w:rPr>
          <w:rFonts w:ascii="Arial" w:hAnsi="Arial" w:cs="Arial"/>
          <w:sz w:val="22"/>
          <w:szCs w:val="22"/>
        </w:rPr>
        <w:t>S</w:t>
      </w:r>
      <w:r>
        <w:rPr>
          <w:rFonts w:ascii="Arial" w:hAnsi="Arial" w:cs="Arial"/>
          <w:sz w:val="22"/>
          <w:szCs w:val="22"/>
        </w:rPr>
        <w:t xml:space="preserve">tatement </w:t>
      </w:r>
      <w:r w:rsidR="001E4163">
        <w:rPr>
          <w:rFonts w:ascii="Arial" w:hAnsi="Arial" w:cs="Arial"/>
          <w:sz w:val="22"/>
          <w:szCs w:val="22"/>
        </w:rPr>
        <w:t>of Environmental Audit to be issued before residential uses can commence.</w:t>
      </w:r>
    </w:p>
    <w:p w:rsidR="00807769" w:rsidRPr="00EB48D3" w:rsidRDefault="00807769" w:rsidP="00D23580">
      <w:pPr>
        <w:pStyle w:val="StrategicAssessmentText"/>
        <w:ind w:left="0"/>
        <w:jc w:val="left"/>
        <w:rPr>
          <w:rFonts w:ascii="Arial" w:hAnsi="Arial" w:cs="Arial"/>
          <w:i/>
          <w:sz w:val="22"/>
          <w:szCs w:val="22"/>
        </w:rPr>
      </w:pPr>
      <w:r w:rsidRPr="00EB48D3">
        <w:rPr>
          <w:rFonts w:ascii="Arial" w:hAnsi="Arial" w:cs="Arial"/>
          <w:i/>
          <w:sz w:val="22"/>
          <w:szCs w:val="22"/>
        </w:rPr>
        <w:t>Direction No. 9 Metropolitan Strategy</w:t>
      </w:r>
    </w:p>
    <w:p w:rsidR="001E4163" w:rsidRDefault="001E4163" w:rsidP="00D23580">
      <w:pPr>
        <w:pStyle w:val="StrategicAssessmentText"/>
        <w:ind w:left="0"/>
        <w:jc w:val="left"/>
        <w:rPr>
          <w:rFonts w:ascii="Arial" w:hAnsi="Arial" w:cs="Arial"/>
          <w:sz w:val="22"/>
          <w:szCs w:val="22"/>
        </w:rPr>
      </w:pPr>
      <w:r>
        <w:rPr>
          <w:rFonts w:ascii="Arial" w:hAnsi="Arial" w:cs="Arial"/>
          <w:sz w:val="22"/>
          <w:szCs w:val="22"/>
        </w:rPr>
        <w:t xml:space="preserve">The amendment has been prepared with regard to </w:t>
      </w:r>
      <w:r>
        <w:rPr>
          <w:rFonts w:ascii="Arial" w:hAnsi="Arial" w:cs="Arial"/>
          <w:i/>
          <w:sz w:val="22"/>
          <w:szCs w:val="22"/>
        </w:rPr>
        <w:t xml:space="preserve">Plan Melbourne </w:t>
      </w:r>
      <w:r>
        <w:rPr>
          <w:rFonts w:ascii="Arial" w:hAnsi="Arial" w:cs="Arial"/>
          <w:sz w:val="22"/>
          <w:szCs w:val="22"/>
        </w:rPr>
        <w:t xml:space="preserve">and in particular implements </w:t>
      </w:r>
      <w:r w:rsidR="002C3F0E">
        <w:rPr>
          <w:rFonts w:ascii="Arial" w:hAnsi="Arial" w:cs="Arial"/>
          <w:i/>
          <w:sz w:val="22"/>
          <w:szCs w:val="22"/>
        </w:rPr>
        <w:t xml:space="preserve">Plan Melbourne </w:t>
      </w:r>
      <w:r>
        <w:rPr>
          <w:rFonts w:ascii="Arial" w:hAnsi="Arial" w:cs="Arial"/>
          <w:sz w:val="22"/>
          <w:szCs w:val="22"/>
        </w:rPr>
        <w:t xml:space="preserve">directions in the categories </w:t>
      </w:r>
      <w:r w:rsidRPr="002C3F0E">
        <w:rPr>
          <w:rFonts w:ascii="Arial" w:hAnsi="Arial" w:cs="Arial"/>
          <w:i/>
          <w:sz w:val="22"/>
          <w:szCs w:val="22"/>
        </w:rPr>
        <w:t>Housing Choice and affordability</w:t>
      </w:r>
      <w:r>
        <w:rPr>
          <w:rFonts w:ascii="Arial" w:hAnsi="Arial" w:cs="Arial"/>
          <w:sz w:val="22"/>
          <w:szCs w:val="22"/>
        </w:rPr>
        <w:t xml:space="preserve">, </w:t>
      </w:r>
      <w:r>
        <w:rPr>
          <w:rFonts w:ascii="Arial" w:hAnsi="Arial" w:cs="Arial"/>
          <w:i/>
          <w:sz w:val="22"/>
          <w:szCs w:val="22"/>
        </w:rPr>
        <w:t xml:space="preserve">Liveable communities and neighbourhoods, </w:t>
      </w:r>
      <w:r w:rsidR="002C3F0E">
        <w:rPr>
          <w:rFonts w:ascii="Arial" w:hAnsi="Arial" w:cs="Arial"/>
          <w:i/>
          <w:sz w:val="22"/>
          <w:szCs w:val="22"/>
        </w:rPr>
        <w:t>Environment and Water</w:t>
      </w:r>
      <w:r w:rsidR="002C3F0E">
        <w:rPr>
          <w:rFonts w:ascii="Arial" w:hAnsi="Arial" w:cs="Arial"/>
          <w:sz w:val="22"/>
          <w:szCs w:val="22"/>
        </w:rPr>
        <w:t xml:space="preserve"> and </w:t>
      </w:r>
      <w:r w:rsidR="002C3F0E">
        <w:rPr>
          <w:rFonts w:ascii="Arial" w:hAnsi="Arial" w:cs="Arial"/>
          <w:i/>
          <w:sz w:val="22"/>
          <w:szCs w:val="22"/>
        </w:rPr>
        <w:t>Implementation: delivering better governance</w:t>
      </w:r>
      <w:r w:rsidR="002C3F0E">
        <w:rPr>
          <w:rFonts w:ascii="Arial" w:hAnsi="Arial" w:cs="Arial"/>
          <w:sz w:val="22"/>
          <w:szCs w:val="22"/>
        </w:rPr>
        <w:t>.</w:t>
      </w:r>
      <w:r w:rsidR="002C3F0E">
        <w:rPr>
          <w:rFonts w:ascii="Arial" w:hAnsi="Arial" w:cs="Arial"/>
          <w:i/>
          <w:sz w:val="22"/>
          <w:szCs w:val="22"/>
        </w:rPr>
        <w:t xml:space="preserve"> </w:t>
      </w:r>
    </w:p>
    <w:p w:rsidR="00807769" w:rsidRPr="00EB48D3" w:rsidRDefault="00807769" w:rsidP="00D23580">
      <w:pPr>
        <w:pStyle w:val="StrategicAssessmentText"/>
        <w:ind w:left="0"/>
        <w:jc w:val="left"/>
        <w:rPr>
          <w:rFonts w:ascii="Arial" w:hAnsi="Arial" w:cs="Arial"/>
          <w:i/>
          <w:sz w:val="22"/>
          <w:szCs w:val="22"/>
        </w:rPr>
      </w:pPr>
      <w:r w:rsidRPr="00EB48D3">
        <w:rPr>
          <w:rFonts w:ascii="Arial" w:hAnsi="Arial" w:cs="Arial"/>
          <w:i/>
          <w:sz w:val="22"/>
          <w:szCs w:val="22"/>
        </w:rPr>
        <w:t xml:space="preserve">Direction No. 11 Strategic Assessment of Amendments </w:t>
      </w:r>
    </w:p>
    <w:p w:rsidR="00EB48D3" w:rsidRDefault="00EB48D3" w:rsidP="00D23580">
      <w:pPr>
        <w:pStyle w:val="StrategicAssessmentText"/>
        <w:ind w:left="0"/>
        <w:jc w:val="left"/>
        <w:rPr>
          <w:rFonts w:ascii="Arial" w:hAnsi="Arial" w:cs="Arial"/>
          <w:sz w:val="22"/>
          <w:szCs w:val="22"/>
        </w:rPr>
      </w:pPr>
      <w:r>
        <w:rPr>
          <w:rFonts w:ascii="Arial" w:hAnsi="Arial" w:cs="Arial"/>
          <w:sz w:val="22"/>
          <w:szCs w:val="22"/>
        </w:rPr>
        <w:t xml:space="preserve">This explanatory report fulfils the requirements of </w:t>
      </w:r>
      <w:r w:rsidR="002C3F0E">
        <w:rPr>
          <w:rFonts w:ascii="Arial" w:hAnsi="Arial" w:cs="Arial"/>
          <w:sz w:val="22"/>
          <w:szCs w:val="22"/>
        </w:rPr>
        <w:t>this direction</w:t>
      </w:r>
      <w:r>
        <w:rPr>
          <w:rFonts w:ascii="Arial" w:hAnsi="Arial" w:cs="Arial"/>
          <w:sz w:val="22"/>
          <w:szCs w:val="22"/>
        </w:rPr>
        <w:t>.</w:t>
      </w:r>
    </w:p>
    <w:p w:rsidR="00807769" w:rsidRPr="00EB48D3" w:rsidRDefault="00807769" w:rsidP="00D23580">
      <w:pPr>
        <w:pStyle w:val="StrategicAssessmentText"/>
        <w:ind w:left="0"/>
        <w:jc w:val="left"/>
        <w:rPr>
          <w:rFonts w:ascii="Arial" w:hAnsi="Arial" w:cs="Arial"/>
          <w:i/>
          <w:sz w:val="22"/>
          <w:szCs w:val="22"/>
        </w:rPr>
      </w:pPr>
      <w:r w:rsidRPr="00EB48D3">
        <w:rPr>
          <w:rFonts w:ascii="Arial" w:hAnsi="Arial" w:cs="Arial"/>
          <w:i/>
          <w:sz w:val="22"/>
          <w:szCs w:val="22"/>
        </w:rPr>
        <w:t xml:space="preserve">Preparation and Content and Reporting Requirements for Development Contributions Plans </w:t>
      </w:r>
    </w:p>
    <w:p w:rsidR="002C3F0E" w:rsidRDefault="002C3F0E" w:rsidP="00D23580">
      <w:pPr>
        <w:pStyle w:val="StrategicAssessmentText"/>
        <w:ind w:left="0"/>
        <w:jc w:val="left"/>
        <w:rPr>
          <w:rFonts w:ascii="Arial" w:hAnsi="Arial" w:cs="Arial"/>
          <w:sz w:val="22"/>
          <w:szCs w:val="22"/>
        </w:rPr>
      </w:pPr>
      <w:r>
        <w:rPr>
          <w:rFonts w:ascii="Arial" w:hAnsi="Arial" w:cs="Arial"/>
          <w:sz w:val="22"/>
          <w:szCs w:val="22"/>
        </w:rPr>
        <w:t xml:space="preserve">The area may be subject to a development contributions plan as </w:t>
      </w:r>
      <w:r w:rsidR="00CB3222">
        <w:rPr>
          <w:rFonts w:ascii="Arial" w:hAnsi="Arial" w:cs="Arial"/>
          <w:sz w:val="22"/>
          <w:szCs w:val="22"/>
        </w:rPr>
        <w:t xml:space="preserve">it </w:t>
      </w:r>
      <w:r>
        <w:rPr>
          <w:rFonts w:ascii="Arial" w:hAnsi="Arial" w:cs="Arial"/>
          <w:sz w:val="22"/>
          <w:szCs w:val="22"/>
        </w:rPr>
        <w:t xml:space="preserve">is not in a scheduled development setting under the </w:t>
      </w:r>
      <w:r w:rsidRPr="002C3F0E">
        <w:rPr>
          <w:rFonts w:ascii="Arial" w:hAnsi="Arial" w:cs="Arial"/>
          <w:i/>
          <w:sz w:val="22"/>
          <w:szCs w:val="22"/>
        </w:rPr>
        <w:t>Preparation and Content and Reporting Requirements for Infrastructure Contributions Plans Ministerial Direction</w:t>
      </w:r>
      <w:r>
        <w:rPr>
          <w:rFonts w:ascii="Arial" w:hAnsi="Arial" w:cs="Arial"/>
          <w:sz w:val="22"/>
          <w:szCs w:val="22"/>
        </w:rPr>
        <w:t>.</w:t>
      </w:r>
    </w:p>
    <w:p w:rsidR="00EB48D3" w:rsidRPr="00807769" w:rsidRDefault="002C3F0E" w:rsidP="00D23580">
      <w:pPr>
        <w:pStyle w:val="StrategicAssessmentText"/>
        <w:ind w:left="0"/>
        <w:jc w:val="left"/>
        <w:rPr>
          <w:rFonts w:ascii="Arial" w:hAnsi="Arial" w:cs="Arial"/>
          <w:sz w:val="22"/>
          <w:szCs w:val="22"/>
        </w:rPr>
      </w:pPr>
      <w:r>
        <w:rPr>
          <w:rFonts w:ascii="Arial" w:hAnsi="Arial" w:cs="Arial"/>
          <w:sz w:val="22"/>
          <w:szCs w:val="22"/>
        </w:rPr>
        <w:t>All items for which a levy is proposed in the development contributions plan are items that may be funded in accordance with this direction.</w:t>
      </w:r>
    </w:p>
    <w:p w:rsidR="00E401A9" w:rsidRPr="00420A5B" w:rsidRDefault="00E401A9" w:rsidP="00CB1EBA">
      <w:pPr>
        <w:pStyle w:val="Heading3"/>
        <w:keepNext/>
        <w:numPr>
          <w:ilvl w:val="0"/>
          <w:numId w:val="0"/>
        </w:numPr>
        <w:jc w:val="left"/>
        <w:rPr>
          <w:rFonts w:ascii="Arial" w:hAnsi="Arial" w:cs="Arial"/>
          <w:szCs w:val="24"/>
        </w:rPr>
      </w:pPr>
      <w:r>
        <w:rPr>
          <w:rFonts w:ascii="Arial" w:hAnsi="Arial" w:cs="Arial"/>
          <w:szCs w:val="24"/>
        </w:rPr>
        <w:t>How does the A</w:t>
      </w:r>
      <w:r w:rsidRPr="00420A5B">
        <w:rPr>
          <w:rFonts w:ascii="Arial" w:hAnsi="Arial" w:cs="Arial"/>
          <w:szCs w:val="24"/>
        </w:rPr>
        <w:t xml:space="preserve">mendment support or implement the </w:t>
      </w:r>
      <w:r>
        <w:rPr>
          <w:rFonts w:ascii="Arial" w:hAnsi="Arial" w:cs="Arial"/>
          <w:szCs w:val="24"/>
        </w:rPr>
        <w:t>State Planning Policy Framework and any adopted State policy?</w:t>
      </w:r>
    </w:p>
    <w:p w:rsidR="00CB1EBA" w:rsidRDefault="002C08D2" w:rsidP="002C08D2">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amendment implements </w:t>
      </w:r>
      <w:r>
        <w:rPr>
          <w:rFonts w:ascii="Arial" w:hAnsi="Arial" w:cs="Arial"/>
          <w:i/>
          <w:snapToGrid w:val="0"/>
          <w:sz w:val="22"/>
          <w:szCs w:val="22"/>
          <w:lang w:eastAsia="en-US"/>
        </w:rPr>
        <w:t xml:space="preserve">Plan Melbourne </w:t>
      </w:r>
      <w:r>
        <w:rPr>
          <w:rFonts w:ascii="Arial" w:hAnsi="Arial" w:cs="Arial"/>
          <w:snapToGrid w:val="0"/>
          <w:sz w:val="22"/>
          <w:szCs w:val="22"/>
          <w:lang w:eastAsia="en-US"/>
        </w:rPr>
        <w:t>by</w:t>
      </w:r>
      <w:r w:rsidR="00CB1EBA">
        <w:rPr>
          <w:rFonts w:ascii="Arial" w:hAnsi="Arial" w:cs="Arial"/>
          <w:snapToGrid w:val="0"/>
          <w:sz w:val="22"/>
          <w:szCs w:val="22"/>
          <w:lang w:eastAsia="en-US"/>
        </w:rPr>
        <w:t>:</w:t>
      </w:r>
      <w:r>
        <w:rPr>
          <w:rFonts w:ascii="Arial" w:hAnsi="Arial" w:cs="Arial"/>
          <w:snapToGrid w:val="0"/>
          <w:sz w:val="22"/>
          <w:szCs w:val="22"/>
          <w:lang w:eastAsia="en-US"/>
        </w:rPr>
        <w:t xml:space="preserve"> </w:t>
      </w:r>
    </w:p>
    <w:p w:rsidR="00CB1EBA" w:rsidRDefault="00CB1EBA" w:rsidP="00CB1EBA">
      <w:pPr>
        <w:pStyle w:val="StrategicAssessmentText"/>
        <w:numPr>
          <w:ilvl w:val="0"/>
          <w:numId w:val="46"/>
        </w:numPr>
        <w:ind w:left="426"/>
        <w:jc w:val="left"/>
        <w:rPr>
          <w:rFonts w:ascii="Arial" w:hAnsi="Arial" w:cs="Arial"/>
          <w:snapToGrid w:val="0"/>
          <w:sz w:val="22"/>
          <w:szCs w:val="22"/>
          <w:lang w:eastAsia="en-US"/>
        </w:rPr>
      </w:pPr>
      <w:r>
        <w:rPr>
          <w:rFonts w:ascii="Arial" w:hAnsi="Arial" w:cs="Arial"/>
          <w:snapToGrid w:val="0"/>
          <w:sz w:val="22"/>
          <w:szCs w:val="22"/>
          <w:lang w:eastAsia="en-US"/>
        </w:rPr>
        <w:t xml:space="preserve">Providing </w:t>
      </w:r>
      <w:r w:rsidR="002C08D2">
        <w:rPr>
          <w:rFonts w:ascii="Arial" w:hAnsi="Arial" w:cs="Arial"/>
          <w:snapToGrid w:val="0"/>
          <w:sz w:val="22"/>
          <w:szCs w:val="22"/>
          <w:lang w:eastAsia="en-US"/>
        </w:rPr>
        <w:t xml:space="preserve">for the mixed-use redevelopment of an exhausted industrial precinct in a location well </w:t>
      </w:r>
      <w:r>
        <w:rPr>
          <w:rFonts w:ascii="Arial" w:hAnsi="Arial" w:cs="Arial"/>
          <w:snapToGrid w:val="0"/>
          <w:sz w:val="22"/>
          <w:szCs w:val="22"/>
          <w:lang w:eastAsia="en-US"/>
        </w:rPr>
        <w:t xml:space="preserve">suited to residential and mixed use development by virtue of its proximity to </w:t>
      </w:r>
      <w:r w:rsidR="002C08D2">
        <w:rPr>
          <w:rFonts w:ascii="Arial" w:hAnsi="Arial" w:cs="Arial"/>
          <w:snapToGrid w:val="0"/>
          <w:sz w:val="22"/>
          <w:szCs w:val="22"/>
          <w:lang w:eastAsia="en-US"/>
        </w:rPr>
        <w:t xml:space="preserve">amenities, the transport network and employment opportunities. </w:t>
      </w:r>
    </w:p>
    <w:p w:rsidR="00CB1EBA" w:rsidRDefault="00CB1EBA" w:rsidP="00CB1EBA">
      <w:pPr>
        <w:pStyle w:val="StrategicAssessmentText"/>
        <w:numPr>
          <w:ilvl w:val="0"/>
          <w:numId w:val="46"/>
        </w:numPr>
        <w:ind w:left="426"/>
        <w:jc w:val="left"/>
        <w:rPr>
          <w:rFonts w:ascii="Arial" w:hAnsi="Arial" w:cs="Arial"/>
          <w:snapToGrid w:val="0"/>
          <w:sz w:val="22"/>
          <w:szCs w:val="22"/>
          <w:lang w:eastAsia="en-US"/>
        </w:rPr>
      </w:pPr>
      <w:r>
        <w:rPr>
          <w:rFonts w:ascii="Arial" w:hAnsi="Arial" w:cs="Arial"/>
          <w:snapToGrid w:val="0"/>
          <w:sz w:val="22"/>
          <w:szCs w:val="22"/>
          <w:lang w:eastAsia="en-US"/>
        </w:rPr>
        <w:t>Designing the area to have convenient access to existing and future services and amenities in the area and to be properly integrated with the existing residential areas of Altona North.</w:t>
      </w:r>
    </w:p>
    <w:p w:rsidR="002C08D2" w:rsidRDefault="00CB1EBA" w:rsidP="00CB1EBA">
      <w:pPr>
        <w:pStyle w:val="StrategicAssessmentText"/>
        <w:numPr>
          <w:ilvl w:val="0"/>
          <w:numId w:val="46"/>
        </w:numPr>
        <w:ind w:left="426"/>
        <w:jc w:val="left"/>
        <w:rPr>
          <w:rFonts w:ascii="Arial" w:hAnsi="Arial" w:cs="Arial"/>
          <w:snapToGrid w:val="0"/>
          <w:sz w:val="22"/>
          <w:szCs w:val="22"/>
          <w:lang w:eastAsia="en-US"/>
        </w:rPr>
      </w:pPr>
      <w:r>
        <w:rPr>
          <w:rFonts w:ascii="Arial" w:hAnsi="Arial" w:cs="Arial"/>
          <w:snapToGrid w:val="0"/>
          <w:sz w:val="22"/>
          <w:szCs w:val="22"/>
          <w:lang w:eastAsia="en-US"/>
        </w:rPr>
        <w:t>Streamlining</w:t>
      </w:r>
      <w:r w:rsidR="002C08D2">
        <w:rPr>
          <w:rFonts w:ascii="Arial" w:hAnsi="Arial" w:cs="Arial"/>
          <w:snapToGrid w:val="0"/>
          <w:sz w:val="22"/>
          <w:szCs w:val="22"/>
          <w:lang w:eastAsia="en-US"/>
        </w:rPr>
        <w:t xml:space="preserve"> approval processes by </w:t>
      </w:r>
      <w:r>
        <w:rPr>
          <w:rFonts w:ascii="Arial" w:hAnsi="Arial" w:cs="Arial"/>
          <w:snapToGrid w:val="0"/>
          <w:sz w:val="22"/>
          <w:szCs w:val="22"/>
          <w:lang w:eastAsia="en-US"/>
        </w:rPr>
        <w:t xml:space="preserve">including plans with a </w:t>
      </w:r>
      <w:r w:rsidR="002C08D2">
        <w:rPr>
          <w:rFonts w:ascii="Arial" w:hAnsi="Arial" w:cs="Arial"/>
          <w:snapToGrid w:val="0"/>
          <w:sz w:val="22"/>
          <w:szCs w:val="22"/>
          <w:lang w:eastAsia="en-US"/>
        </w:rPr>
        <w:t xml:space="preserve">resolved </w:t>
      </w:r>
      <w:r>
        <w:rPr>
          <w:rFonts w:ascii="Arial" w:hAnsi="Arial" w:cs="Arial"/>
          <w:snapToGrid w:val="0"/>
          <w:sz w:val="22"/>
          <w:szCs w:val="22"/>
          <w:lang w:eastAsia="en-US"/>
        </w:rPr>
        <w:t xml:space="preserve">general layout </w:t>
      </w:r>
      <w:r w:rsidR="002C08D2">
        <w:rPr>
          <w:rFonts w:ascii="Arial" w:hAnsi="Arial" w:cs="Arial"/>
          <w:snapToGrid w:val="0"/>
          <w:sz w:val="22"/>
          <w:szCs w:val="22"/>
          <w:lang w:eastAsia="en-US"/>
        </w:rPr>
        <w:t xml:space="preserve">for </w:t>
      </w:r>
      <w:r>
        <w:rPr>
          <w:rFonts w:ascii="Arial" w:hAnsi="Arial" w:cs="Arial"/>
          <w:snapToGrid w:val="0"/>
          <w:sz w:val="22"/>
          <w:szCs w:val="22"/>
          <w:lang w:eastAsia="en-US"/>
        </w:rPr>
        <w:t xml:space="preserve">the area including primary land </w:t>
      </w:r>
      <w:r w:rsidR="002C08D2">
        <w:rPr>
          <w:rFonts w:ascii="Arial" w:hAnsi="Arial" w:cs="Arial"/>
          <w:snapToGrid w:val="0"/>
          <w:sz w:val="22"/>
          <w:szCs w:val="22"/>
          <w:lang w:eastAsia="en-US"/>
        </w:rPr>
        <w:t>use</w:t>
      </w:r>
      <w:r>
        <w:rPr>
          <w:rFonts w:ascii="Arial" w:hAnsi="Arial" w:cs="Arial"/>
          <w:snapToGrid w:val="0"/>
          <w:sz w:val="22"/>
          <w:szCs w:val="22"/>
          <w:lang w:eastAsia="en-US"/>
        </w:rPr>
        <w:t>s</w:t>
      </w:r>
      <w:r w:rsidR="002C08D2">
        <w:rPr>
          <w:rFonts w:ascii="Arial" w:hAnsi="Arial" w:cs="Arial"/>
          <w:snapToGrid w:val="0"/>
          <w:sz w:val="22"/>
          <w:szCs w:val="22"/>
          <w:lang w:eastAsia="en-US"/>
        </w:rPr>
        <w:t xml:space="preserve">, </w:t>
      </w:r>
      <w:r>
        <w:rPr>
          <w:rFonts w:ascii="Arial" w:hAnsi="Arial" w:cs="Arial"/>
          <w:snapToGrid w:val="0"/>
          <w:sz w:val="22"/>
          <w:szCs w:val="22"/>
          <w:lang w:eastAsia="en-US"/>
        </w:rPr>
        <w:t xml:space="preserve">critical street and trail networks and required </w:t>
      </w:r>
      <w:r w:rsidR="002C08D2">
        <w:rPr>
          <w:rFonts w:ascii="Arial" w:hAnsi="Arial" w:cs="Arial"/>
          <w:snapToGrid w:val="0"/>
          <w:sz w:val="22"/>
          <w:szCs w:val="22"/>
          <w:lang w:eastAsia="en-US"/>
        </w:rPr>
        <w:t xml:space="preserve">infrastructure </w:t>
      </w:r>
      <w:r>
        <w:rPr>
          <w:rFonts w:ascii="Arial" w:hAnsi="Arial" w:cs="Arial"/>
          <w:snapToGrid w:val="0"/>
          <w:sz w:val="22"/>
          <w:szCs w:val="22"/>
          <w:lang w:eastAsia="en-US"/>
        </w:rPr>
        <w:t>and construction standards.</w:t>
      </w:r>
    </w:p>
    <w:p w:rsidR="00CB1EBA" w:rsidRDefault="00CB1EBA" w:rsidP="00CB1EBA">
      <w:pPr>
        <w:pStyle w:val="StrategicAssessmentText"/>
        <w:numPr>
          <w:ilvl w:val="0"/>
          <w:numId w:val="46"/>
        </w:numPr>
        <w:ind w:left="426"/>
        <w:jc w:val="left"/>
        <w:rPr>
          <w:rFonts w:ascii="Arial" w:hAnsi="Arial" w:cs="Arial"/>
          <w:snapToGrid w:val="0"/>
          <w:sz w:val="22"/>
          <w:szCs w:val="22"/>
          <w:lang w:eastAsia="en-US"/>
        </w:rPr>
      </w:pPr>
      <w:r>
        <w:rPr>
          <w:rFonts w:ascii="Arial" w:hAnsi="Arial" w:cs="Arial"/>
          <w:snapToGrid w:val="0"/>
          <w:sz w:val="22"/>
          <w:szCs w:val="22"/>
          <w:lang w:eastAsia="en-US"/>
        </w:rPr>
        <w:t>Facilitating a diversity of housing products to suit a range of household configurations and income levels.</w:t>
      </w:r>
    </w:p>
    <w:p w:rsidR="00CB1EBA" w:rsidRPr="002C08D2" w:rsidRDefault="00CB1EBA" w:rsidP="00CB1EBA">
      <w:pPr>
        <w:pStyle w:val="StrategicAssessmentText"/>
        <w:numPr>
          <w:ilvl w:val="0"/>
          <w:numId w:val="46"/>
        </w:numPr>
        <w:ind w:left="426"/>
        <w:jc w:val="left"/>
        <w:rPr>
          <w:rFonts w:ascii="Arial" w:hAnsi="Arial" w:cs="Arial"/>
          <w:snapToGrid w:val="0"/>
          <w:sz w:val="22"/>
          <w:szCs w:val="22"/>
          <w:lang w:eastAsia="en-US"/>
        </w:rPr>
      </w:pPr>
      <w:r>
        <w:rPr>
          <w:rFonts w:ascii="Arial" w:hAnsi="Arial" w:cs="Arial"/>
          <w:snapToGrid w:val="0"/>
          <w:sz w:val="22"/>
          <w:szCs w:val="22"/>
          <w:lang w:eastAsia="en-US"/>
        </w:rPr>
        <w:t>Requiring high standards in relation to the treatment of storm water and environmental building standards.</w:t>
      </w:r>
    </w:p>
    <w:p w:rsidR="00E401A9" w:rsidRDefault="000E7D8A" w:rsidP="002C08D2">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amendment </w:t>
      </w:r>
      <w:r w:rsidR="00CB3222">
        <w:rPr>
          <w:rFonts w:ascii="Arial" w:hAnsi="Arial" w:cs="Arial"/>
          <w:snapToGrid w:val="0"/>
          <w:sz w:val="22"/>
          <w:szCs w:val="22"/>
          <w:lang w:eastAsia="en-US"/>
        </w:rPr>
        <w:t xml:space="preserve">reflects </w:t>
      </w:r>
      <w:r>
        <w:rPr>
          <w:rFonts w:ascii="Arial" w:hAnsi="Arial" w:cs="Arial"/>
          <w:snapToGrid w:val="0"/>
          <w:sz w:val="22"/>
          <w:szCs w:val="22"/>
          <w:lang w:eastAsia="en-US"/>
        </w:rPr>
        <w:t xml:space="preserve">the planning authority’s </w:t>
      </w:r>
      <w:r w:rsidRPr="000E7D8A">
        <w:rPr>
          <w:rFonts w:ascii="Arial" w:hAnsi="Arial" w:cs="Arial"/>
          <w:snapToGrid w:val="0"/>
          <w:sz w:val="22"/>
          <w:szCs w:val="22"/>
          <w:lang w:eastAsia="en-US"/>
        </w:rPr>
        <w:t>endeavour to integrate the range of</w:t>
      </w:r>
      <w:r>
        <w:rPr>
          <w:rFonts w:ascii="Arial" w:hAnsi="Arial" w:cs="Arial"/>
          <w:snapToGrid w:val="0"/>
          <w:sz w:val="22"/>
          <w:szCs w:val="22"/>
          <w:lang w:eastAsia="en-US"/>
        </w:rPr>
        <w:t xml:space="preserve"> </w:t>
      </w:r>
      <w:r w:rsidRPr="000E7D8A">
        <w:rPr>
          <w:rFonts w:ascii="Arial" w:hAnsi="Arial" w:cs="Arial"/>
          <w:snapToGrid w:val="0"/>
          <w:sz w:val="22"/>
          <w:szCs w:val="22"/>
          <w:lang w:eastAsia="en-US"/>
        </w:rPr>
        <w:t>policies relevant to the issues and balance conflicting objectives in favour</w:t>
      </w:r>
      <w:r>
        <w:rPr>
          <w:rFonts w:ascii="Arial" w:hAnsi="Arial" w:cs="Arial"/>
          <w:snapToGrid w:val="0"/>
          <w:sz w:val="22"/>
          <w:szCs w:val="22"/>
          <w:lang w:eastAsia="en-US"/>
        </w:rPr>
        <w:t xml:space="preserve"> </w:t>
      </w:r>
      <w:r w:rsidRPr="000E7D8A">
        <w:rPr>
          <w:rFonts w:ascii="Arial" w:hAnsi="Arial" w:cs="Arial"/>
          <w:snapToGrid w:val="0"/>
          <w:sz w:val="22"/>
          <w:szCs w:val="22"/>
          <w:lang w:eastAsia="en-US"/>
        </w:rPr>
        <w:t>of net community benefit and sustainable development</w:t>
      </w:r>
      <w:r w:rsidR="00CB3222">
        <w:rPr>
          <w:rFonts w:ascii="Arial" w:hAnsi="Arial" w:cs="Arial"/>
          <w:snapToGrid w:val="0"/>
          <w:sz w:val="22"/>
          <w:szCs w:val="22"/>
          <w:lang w:eastAsia="en-US"/>
        </w:rPr>
        <w:t>,</w:t>
      </w:r>
      <w:r w:rsidRPr="000E7D8A">
        <w:rPr>
          <w:rFonts w:ascii="Arial" w:hAnsi="Arial" w:cs="Arial"/>
          <w:snapToGrid w:val="0"/>
          <w:sz w:val="22"/>
          <w:szCs w:val="22"/>
          <w:lang w:eastAsia="en-US"/>
        </w:rPr>
        <w:t xml:space="preserve"> for the benefit of present and future</w:t>
      </w:r>
      <w:r>
        <w:rPr>
          <w:rFonts w:ascii="Arial" w:hAnsi="Arial" w:cs="Arial"/>
          <w:snapToGrid w:val="0"/>
          <w:sz w:val="22"/>
          <w:szCs w:val="22"/>
          <w:lang w:eastAsia="en-US"/>
        </w:rPr>
        <w:t xml:space="preserve"> </w:t>
      </w:r>
      <w:r w:rsidRPr="000E7D8A">
        <w:rPr>
          <w:rFonts w:ascii="Arial" w:hAnsi="Arial" w:cs="Arial"/>
          <w:snapToGrid w:val="0"/>
          <w:sz w:val="22"/>
          <w:szCs w:val="22"/>
          <w:lang w:eastAsia="en-US"/>
        </w:rPr>
        <w:t>generations.</w:t>
      </w:r>
      <w:r w:rsidRPr="000E7D8A">
        <w:rPr>
          <w:rFonts w:ascii="Arial" w:hAnsi="Arial" w:cs="Arial"/>
          <w:snapToGrid w:val="0"/>
          <w:sz w:val="22"/>
          <w:szCs w:val="22"/>
          <w:lang w:eastAsia="en-US"/>
        </w:rPr>
        <w:cr/>
      </w:r>
    </w:p>
    <w:p w:rsidR="00CB1EBA" w:rsidRDefault="00CB1EBA" w:rsidP="002C08D2">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amendment addressed the range of relevant policy consideration throughout the State Planning Policy Framework as outlined throughout this explanatory report, the amendment </w:t>
      </w:r>
      <w:r w:rsidR="00CB3222">
        <w:rPr>
          <w:rFonts w:ascii="Arial" w:hAnsi="Arial" w:cs="Arial"/>
          <w:snapToGrid w:val="0"/>
          <w:sz w:val="22"/>
          <w:szCs w:val="22"/>
          <w:lang w:eastAsia="en-US"/>
        </w:rPr>
        <w:t>itself and</w:t>
      </w:r>
      <w:r>
        <w:rPr>
          <w:rFonts w:ascii="Arial" w:hAnsi="Arial" w:cs="Arial"/>
          <w:snapToGrid w:val="0"/>
          <w:sz w:val="22"/>
          <w:szCs w:val="22"/>
          <w:lang w:eastAsia="en-US"/>
        </w:rPr>
        <w:t xml:space="preserve"> the amendment background report published with the amendment.</w:t>
      </w:r>
    </w:p>
    <w:p w:rsidR="008620C4" w:rsidRDefault="008620C4" w:rsidP="002C08D2">
      <w:pPr>
        <w:pStyle w:val="StrategicAssessmentText"/>
        <w:ind w:left="0"/>
        <w:jc w:val="left"/>
        <w:rPr>
          <w:rFonts w:ascii="Arial" w:hAnsi="Arial" w:cs="Arial"/>
          <w:snapToGrid w:val="0"/>
          <w:sz w:val="22"/>
          <w:szCs w:val="22"/>
          <w:lang w:eastAsia="en-US"/>
        </w:rPr>
      </w:pPr>
    </w:p>
    <w:p w:rsidR="008620C4" w:rsidRPr="00F27102" w:rsidRDefault="008620C4" w:rsidP="002C08D2">
      <w:pPr>
        <w:pStyle w:val="StrategicAssessmentText"/>
        <w:ind w:left="0"/>
        <w:jc w:val="left"/>
        <w:rPr>
          <w:rFonts w:ascii="Arial" w:hAnsi="Arial" w:cs="Arial"/>
          <w:snapToGrid w:val="0"/>
          <w:sz w:val="22"/>
          <w:szCs w:val="22"/>
          <w:lang w:eastAsia="en-US"/>
        </w:rPr>
      </w:pPr>
    </w:p>
    <w:p w:rsidR="00E401A9" w:rsidRPr="00420A5B" w:rsidRDefault="00E401A9" w:rsidP="00E401A9">
      <w:pPr>
        <w:pStyle w:val="Heading3"/>
        <w:numPr>
          <w:ilvl w:val="0"/>
          <w:numId w:val="0"/>
        </w:numPr>
        <w:jc w:val="left"/>
        <w:rPr>
          <w:rFonts w:ascii="Arial" w:hAnsi="Arial" w:cs="Arial"/>
          <w:szCs w:val="24"/>
        </w:rPr>
      </w:pPr>
      <w:r>
        <w:rPr>
          <w:rFonts w:ascii="Arial" w:hAnsi="Arial" w:cs="Arial"/>
          <w:szCs w:val="24"/>
        </w:rPr>
        <w:lastRenderedPageBreak/>
        <w:t>How does the A</w:t>
      </w:r>
      <w:r w:rsidRPr="00420A5B">
        <w:rPr>
          <w:rFonts w:ascii="Arial" w:hAnsi="Arial" w:cs="Arial"/>
          <w:szCs w:val="24"/>
        </w:rPr>
        <w:t>mendment support or implement the Local Planning Policy Framework</w:t>
      </w:r>
      <w:r>
        <w:rPr>
          <w:rFonts w:ascii="Arial" w:hAnsi="Arial" w:cs="Arial"/>
          <w:szCs w:val="24"/>
        </w:rPr>
        <w:t>, and specifically the Municipal Strategic Statement?</w:t>
      </w:r>
    </w:p>
    <w:p w:rsidR="00E401A9" w:rsidRDefault="00D1691B" w:rsidP="00E401A9">
      <w:pPr>
        <w:pStyle w:val="StrategicAssessmentText"/>
        <w:ind w:left="0"/>
        <w:jc w:val="left"/>
        <w:rPr>
          <w:rFonts w:ascii="Arial" w:hAnsi="Arial" w:cs="Arial"/>
          <w:sz w:val="22"/>
          <w:szCs w:val="22"/>
        </w:rPr>
      </w:pPr>
      <w:r>
        <w:rPr>
          <w:rFonts w:ascii="Arial" w:hAnsi="Arial" w:cs="Arial"/>
          <w:sz w:val="22"/>
          <w:szCs w:val="22"/>
        </w:rPr>
        <w:t xml:space="preserve">Of particular relevance, the Hobsons Bay Municipal Strategic Statement </w:t>
      </w:r>
      <w:r w:rsidR="00E144CC">
        <w:rPr>
          <w:rFonts w:ascii="Arial" w:hAnsi="Arial" w:cs="Arial"/>
          <w:sz w:val="22"/>
          <w:szCs w:val="22"/>
        </w:rPr>
        <w:t xml:space="preserve">(‘the MSS’) </w:t>
      </w:r>
      <w:r>
        <w:rPr>
          <w:rFonts w:ascii="Arial" w:hAnsi="Arial" w:cs="Arial"/>
          <w:sz w:val="22"/>
          <w:szCs w:val="22"/>
        </w:rPr>
        <w:t>identifies the amendment area as a ‘strategic redevelopment area’</w:t>
      </w:r>
      <w:r w:rsidR="00E144CC">
        <w:rPr>
          <w:rFonts w:ascii="Arial" w:hAnsi="Arial" w:cs="Arial"/>
          <w:sz w:val="22"/>
          <w:szCs w:val="22"/>
        </w:rPr>
        <w:t xml:space="preserve"> which the MSS directs to be transitioned to accommodate urban growth.</w:t>
      </w:r>
    </w:p>
    <w:p w:rsidR="00CD1B93" w:rsidRDefault="00CD1B93" w:rsidP="00CD1B93">
      <w:pPr>
        <w:pStyle w:val="StrategicAssessmentText"/>
        <w:ind w:left="0"/>
        <w:jc w:val="left"/>
        <w:rPr>
          <w:rFonts w:ascii="Arial" w:hAnsi="Arial" w:cs="Arial"/>
          <w:sz w:val="22"/>
          <w:szCs w:val="22"/>
        </w:rPr>
      </w:pPr>
      <w:r>
        <w:rPr>
          <w:rFonts w:ascii="Arial" w:hAnsi="Arial" w:cs="Arial"/>
          <w:sz w:val="22"/>
          <w:szCs w:val="22"/>
        </w:rPr>
        <w:t xml:space="preserve">In line with the MSS the amendment proposes a resolved and comprehensive plan that addresses the issues relevant to this area including: </w:t>
      </w:r>
    </w:p>
    <w:p w:rsidR="00CD1B93"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L</w:t>
      </w:r>
      <w:r w:rsidR="00CD1B93">
        <w:rPr>
          <w:rFonts w:ascii="Arial" w:hAnsi="Arial" w:cs="Arial"/>
          <w:sz w:val="22"/>
          <w:szCs w:val="22"/>
        </w:rPr>
        <w:t xml:space="preserve">and </w:t>
      </w:r>
      <w:r w:rsidR="00CD1B93" w:rsidRPr="00CD1B93">
        <w:rPr>
          <w:rFonts w:ascii="Arial" w:hAnsi="Arial" w:cs="Arial"/>
          <w:sz w:val="22"/>
          <w:szCs w:val="22"/>
        </w:rPr>
        <w:t>contamination</w:t>
      </w:r>
      <w:r w:rsidR="00CD1B93">
        <w:rPr>
          <w:rFonts w:ascii="Arial" w:hAnsi="Arial" w:cs="Arial"/>
          <w:sz w:val="22"/>
          <w:szCs w:val="22"/>
        </w:rPr>
        <w:t xml:space="preserve"> through application of the Environmental Audit Overlay</w:t>
      </w:r>
      <w:r>
        <w:rPr>
          <w:rFonts w:ascii="Arial" w:hAnsi="Arial" w:cs="Arial"/>
          <w:sz w:val="22"/>
          <w:szCs w:val="22"/>
        </w:rPr>
        <w:t>.</w:t>
      </w:r>
      <w:r w:rsidR="00CD1B93">
        <w:rPr>
          <w:rFonts w:ascii="Arial" w:hAnsi="Arial" w:cs="Arial"/>
          <w:sz w:val="22"/>
          <w:szCs w:val="22"/>
        </w:rPr>
        <w:t xml:space="preserve"> </w:t>
      </w:r>
    </w:p>
    <w:p w:rsidR="005D1CF1"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L</w:t>
      </w:r>
      <w:r w:rsidR="00CD1B93">
        <w:rPr>
          <w:rFonts w:ascii="Arial" w:hAnsi="Arial" w:cs="Arial"/>
          <w:sz w:val="22"/>
          <w:szCs w:val="22"/>
        </w:rPr>
        <w:t xml:space="preserve">and use designation through acknowledging the overwhelmingly residential context of the site and the access to </w:t>
      </w:r>
      <w:r w:rsidR="005D1CF1">
        <w:rPr>
          <w:rFonts w:ascii="Arial" w:hAnsi="Arial" w:cs="Arial"/>
          <w:sz w:val="22"/>
          <w:szCs w:val="22"/>
        </w:rPr>
        <w:t>services, transport and amenities suitable for residential use</w:t>
      </w:r>
      <w:r w:rsidR="00CD1B93">
        <w:rPr>
          <w:rFonts w:ascii="Arial" w:hAnsi="Arial" w:cs="Arial"/>
          <w:sz w:val="22"/>
          <w:szCs w:val="22"/>
        </w:rPr>
        <w:t>, infrastructure requirements</w:t>
      </w:r>
      <w:r w:rsidR="005D1CF1">
        <w:rPr>
          <w:rFonts w:ascii="Arial" w:hAnsi="Arial" w:cs="Arial"/>
          <w:sz w:val="22"/>
          <w:szCs w:val="22"/>
        </w:rPr>
        <w:t xml:space="preserve"> including a proper street network, connections to surrounding arterial roads, public transport services and walk/cycle trials</w:t>
      </w:r>
      <w:r>
        <w:rPr>
          <w:rFonts w:ascii="Arial" w:hAnsi="Arial" w:cs="Arial"/>
          <w:sz w:val="22"/>
          <w:szCs w:val="22"/>
        </w:rPr>
        <w:t>.</w:t>
      </w:r>
    </w:p>
    <w:p w:rsidR="005D1CF1"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P</w:t>
      </w:r>
      <w:r w:rsidR="00CD1B93" w:rsidRPr="00CD1B93">
        <w:rPr>
          <w:rFonts w:ascii="Arial" w:hAnsi="Arial" w:cs="Arial"/>
          <w:sz w:val="22"/>
          <w:szCs w:val="22"/>
        </w:rPr>
        <w:t>otential off site impacts</w:t>
      </w:r>
      <w:r w:rsidR="005D1CF1">
        <w:rPr>
          <w:rFonts w:ascii="Arial" w:hAnsi="Arial" w:cs="Arial"/>
          <w:sz w:val="22"/>
          <w:szCs w:val="22"/>
        </w:rPr>
        <w:t xml:space="preserve"> including ensuring that new development does not impact on operation of adjacent major road, rail and transmission infrastructure</w:t>
      </w:r>
      <w:r>
        <w:rPr>
          <w:rFonts w:ascii="Arial" w:hAnsi="Arial" w:cs="Arial"/>
          <w:sz w:val="22"/>
          <w:szCs w:val="22"/>
        </w:rPr>
        <w:t>.</w:t>
      </w:r>
    </w:p>
    <w:p w:rsidR="005D1CF1"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T</w:t>
      </w:r>
      <w:r w:rsidR="00CD1B93" w:rsidRPr="00CD1B93">
        <w:rPr>
          <w:rFonts w:ascii="Arial" w:hAnsi="Arial" w:cs="Arial"/>
          <w:sz w:val="22"/>
          <w:szCs w:val="22"/>
        </w:rPr>
        <w:t xml:space="preserve">raffic management </w:t>
      </w:r>
      <w:r w:rsidR="00CD1B93">
        <w:rPr>
          <w:rFonts w:ascii="Arial" w:hAnsi="Arial" w:cs="Arial"/>
          <w:sz w:val="22"/>
          <w:szCs w:val="22"/>
        </w:rPr>
        <w:t>in and around the area</w:t>
      </w:r>
      <w:r w:rsidR="005D1CF1">
        <w:rPr>
          <w:rFonts w:ascii="Arial" w:hAnsi="Arial" w:cs="Arial"/>
          <w:sz w:val="22"/>
          <w:szCs w:val="22"/>
        </w:rPr>
        <w:t xml:space="preserve"> including requirements for the provision of a new road network within the site that is logically connected to the existing road network with safe signalised intersection</w:t>
      </w:r>
      <w:r>
        <w:rPr>
          <w:rFonts w:ascii="Arial" w:hAnsi="Arial" w:cs="Arial"/>
          <w:sz w:val="22"/>
          <w:szCs w:val="22"/>
        </w:rPr>
        <w:t>s.</w:t>
      </w:r>
    </w:p>
    <w:p w:rsidR="005D1CF1"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S</w:t>
      </w:r>
      <w:r w:rsidR="00CD1B93" w:rsidRPr="00CD1B93">
        <w:rPr>
          <w:rFonts w:ascii="Arial" w:hAnsi="Arial" w:cs="Arial"/>
          <w:sz w:val="22"/>
          <w:szCs w:val="22"/>
        </w:rPr>
        <w:t>taging of development</w:t>
      </w:r>
      <w:r w:rsidR="005D1CF1">
        <w:rPr>
          <w:rFonts w:ascii="Arial" w:hAnsi="Arial" w:cs="Arial"/>
          <w:sz w:val="22"/>
          <w:szCs w:val="22"/>
        </w:rPr>
        <w:t xml:space="preserve"> that ensures fair and timely development opportunities across the area</w:t>
      </w:r>
      <w:r>
        <w:rPr>
          <w:rFonts w:ascii="Arial" w:hAnsi="Arial" w:cs="Arial"/>
          <w:sz w:val="22"/>
          <w:szCs w:val="22"/>
        </w:rPr>
        <w:t>.</w:t>
      </w:r>
      <w:r w:rsidR="005D1CF1">
        <w:rPr>
          <w:rFonts w:ascii="Arial" w:hAnsi="Arial" w:cs="Arial"/>
          <w:sz w:val="22"/>
          <w:szCs w:val="22"/>
        </w:rPr>
        <w:t xml:space="preserve"> </w:t>
      </w:r>
    </w:p>
    <w:p w:rsidR="005D1CF1"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P</w:t>
      </w:r>
      <w:r w:rsidR="00CD1B93" w:rsidRPr="00CD1B93">
        <w:rPr>
          <w:rFonts w:ascii="Arial" w:hAnsi="Arial" w:cs="Arial"/>
          <w:sz w:val="22"/>
          <w:szCs w:val="22"/>
        </w:rPr>
        <w:t>rotect</w:t>
      </w:r>
      <w:r w:rsidR="00CD1B93">
        <w:rPr>
          <w:rFonts w:ascii="Arial" w:hAnsi="Arial" w:cs="Arial"/>
          <w:sz w:val="22"/>
          <w:szCs w:val="22"/>
        </w:rPr>
        <w:t>ion of</w:t>
      </w:r>
      <w:r w:rsidR="00CD1B93" w:rsidRPr="00CD1B93">
        <w:rPr>
          <w:rFonts w:ascii="Arial" w:hAnsi="Arial" w:cs="Arial"/>
          <w:sz w:val="22"/>
          <w:szCs w:val="22"/>
        </w:rPr>
        <w:t xml:space="preserve"> ongoing viable industries from encroaching</w:t>
      </w:r>
      <w:r w:rsidR="00CD1B93">
        <w:rPr>
          <w:rFonts w:ascii="Arial" w:hAnsi="Arial" w:cs="Arial"/>
          <w:sz w:val="22"/>
          <w:szCs w:val="22"/>
        </w:rPr>
        <w:t xml:space="preserve"> </w:t>
      </w:r>
      <w:r w:rsidR="005D1CF1">
        <w:rPr>
          <w:rFonts w:ascii="Arial" w:hAnsi="Arial" w:cs="Arial"/>
          <w:sz w:val="22"/>
          <w:szCs w:val="22"/>
        </w:rPr>
        <w:t>sensitive uses through siting and construction requirements</w:t>
      </w:r>
      <w:r>
        <w:rPr>
          <w:rFonts w:ascii="Arial" w:hAnsi="Arial" w:cs="Arial"/>
          <w:sz w:val="22"/>
          <w:szCs w:val="22"/>
        </w:rPr>
        <w:t>.</w:t>
      </w:r>
    </w:p>
    <w:p w:rsidR="00CD1B93" w:rsidRPr="00CD1B93"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T</w:t>
      </w:r>
      <w:r w:rsidR="005D1CF1">
        <w:rPr>
          <w:rFonts w:ascii="Arial" w:hAnsi="Arial" w:cs="Arial"/>
          <w:sz w:val="22"/>
          <w:szCs w:val="22"/>
        </w:rPr>
        <w:t xml:space="preserve">he </w:t>
      </w:r>
      <w:r w:rsidR="00CD1B93" w:rsidRPr="00CD1B93">
        <w:rPr>
          <w:rFonts w:ascii="Arial" w:hAnsi="Arial" w:cs="Arial"/>
          <w:sz w:val="22"/>
          <w:szCs w:val="22"/>
        </w:rPr>
        <w:t>future character of the area</w:t>
      </w:r>
      <w:r w:rsidR="005D1CF1">
        <w:rPr>
          <w:rFonts w:ascii="Arial" w:hAnsi="Arial" w:cs="Arial"/>
          <w:sz w:val="22"/>
          <w:szCs w:val="22"/>
        </w:rPr>
        <w:t xml:space="preserve">, the </w:t>
      </w:r>
      <w:r w:rsidR="00CD1B93" w:rsidRPr="00CD1B93">
        <w:rPr>
          <w:rFonts w:ascii="Arial" w:hAnsi="Arial" w:cs="Arial"/>
          <w:sz w:val="22"/>
          <w:szCs w:val="22"/>
        </w:rPr>
        <w:t>potential impact on neighbouring residential</w:t>
      </w:r>
      <w:r w:rsidR="00CD1B93">
        <w:rPr>
          <w:rFonts w:ascii="Arial" w:hAnsi="Arial" w:cs="Arial"/>
          <w:sz w:val="22"/>
          <w:szCs w:val="22"/>
        </w:rPr>
        <w:t xml:space="preserve"> </w:t>
      </w:r>
      <w:r w:rsidR="00CD1B93" w:rsidRPr="00CD1B93">
        <w:rPr>
          <w:rFonts w:ascii="Arial" w:hAnsi="Arial" w:cs="Arial"/>
          <w:sz w:val="22"/>
          <w:szCs w:val="22"/>
        </w:rPr>
        <w:t>character</w:t>
      </w:r>
      <w:r w:rsidR="005D1CF1">
        <w:rPr>
          <w:rFonts w:ascii="Arial" w:hAnsi="Arial" w:cs="Arial"/>
          <w:sz w:val="22"/>
          <w:szCs w:val="22"/>
        </w:rPr>
        <w:t xml:space="preserve"> and </w:t>
      </w:r>
      <w:r w:rsidR="005D1CF1" w:rsidRPr="00CD1B93">
        <w:rPr>
          <w:rFonts w:ascii="Arial" w:hAnsi="Arial" w:cs="Arial"/>
          <w:sz w:val="22"/>
          <w:szCs w:val="22"/>
        </w:rPr>
        <w:t xml:space="preserve">the potential interface issues </w:t>
      </w:r>
      <w:r>
        <w:rPr>
          <w:rFonts w:ascii="Arial" w:hAnsi="Arial" w:cs="Arial"/>
          <w:sz w:val="22"/>
          <w:szCs w:val="22"/>
        </w:rPr>
        <w:t>with</w:t>
      </w:r>
      <w:r w:rsidR="005D1CF1" w:rsidRPr="00CD1B93">
        <w:rPr>
          <w:rFonts w:ascii="Arial" w:hAnsi="Arial" w:cs="Arial"/>
          <w:sz w:val="22"/>
          <w:szCs w:val="22"/>
        </w:rPr>
        <w:t xml:space="preserve"> adjoining land uses</w:t>
      </w:r>
      <w:r w:rsidR="005D1CF1">
        <w:rPr>
          <w:rFonts w:ascii="Arial" w:hAnsi="Arial" w:cs="Arial"/>
          <w:sz w:val="22"/>
          <w:szCs w:val="22"/>
        </w:rPr>
        <w:t xml:space="preserve"> including managing the location and scale of building in relation to existing residences facing the site</w:t>
      </w:r>
      <w:r>
        <w:rPr>
          <w:rFonts w:ascii="Arial" w:hAnsi="Arial" w:cs="Arial"/>
          <w:sz w:val="22"/>
          <w:szCs w:val="22"/>
        </w:rPr>
        <w:t>.</w:t>
      </w:r>
      <w:r w:rsidR="005D1CF1" w:rsidRPr="00CD1B93">
        <w:rPr>
          <w:rFonts w:ascii="Arial" w:hAnsi="Arial" w:cs="Arial"/>
          <w:sz w:val="22"/>
          <w:szCs w:val="22"/>
        </w:rPr>
        <w:t xml:space="preserve"> </w:t>
      </w:r>
    </w:p>
    <w:p w:rsidR="00CD1B93" w:rsidRPr="00CD1B93" w:rsidRDefault="00CD1B93" w:rsidP="005D1CF1">
      <w:pPr>
        <w:pStyle w:val="StrategicAssessmentText"/>
        <w:numPr>
          <w:ilvl w:val="0"/>
          <w:numId w:val="47"/>
        </w:numPr>
        <w:ind w:left="284" w:hanging="284"/>
        <w:jc w:val="left"/>
        <w:rPr>
          <w:rFonts w:ascii="Arial" w:hAnsi="Arial" w:cs="Arial"/>
          <w:sz w:val="22"/>
          <w:szCs w:val="22"/>
        </w:rPr>
      </w:pPr>
      <w:r w:rsidRPr="00CD1B93">
        <w:rPr>
          <w:rFonts w:ascii="Arial" w:hAnsi="Arial" w:cs="Arial"/>
          <w:sz w:val="22"/>
          <w:szCs w:val="22"/>
        </w:rPr>
        <w:t xml:space="preserve">Social </w:t>
      </w:r>
      <w:r w:rsidR="005D1CF1">
        <w:rPr>
          <w:rFonts w:ascii="Arial" w:hAnsi="Arial" w:cs="Arial"/>
          <w:sz w:val="22"/>
          <w:szCs w:val="22"/>
        </w:rPr>
        <w:t>i</w:t>
      </w:r>
      <w:r w:rsidRPr="00CD1B93">
        <w:rPr>
          <w:rFonts w:ascii="Arial" w:hAnsi="Arial" w:cs="Arial"/>
          <w:sz w:val="22"/>
          <w:szCs w:val="22"/>
        </w:rPr>
        <w:t>mpact</w:t>
      </w:r>
      <w:r w:rsidR="005D1CF1">
        <w:rPr>
          <w:rFonts w:ascii="Arial" w:hAnsi="Arial" w:cs="Arial"/>
          <w:sz w:val="22"/>
          <w:szCs w:val="22"/>
        </w:rPr>
        <w:t>s</w:t>
      </w:r>
      <w:r w:rsidRPr="00CD1B93">
        <w:rPr>
          <w:rFonts w:ascii="Arial" w:hAnsi="Arial" w:cs="Arial"/>
          <w:sz w:val="22"/>
          <w:szCs w:val="22"/>
        </w:rPr>
        <w:t xml:space="preserve"> </w:t>
      </w:r>
      <w:r w:rsidR="005D1CF1">
        <w:rPr>
          <w:rFonts w:ascii="Arial" w:hAnsi="Arial" w:cs="Arial"/>
          <w:sz w:val="22"/>
          <w:szCs w:val="22"/>
        </w:rPr>
        <w:t>including provision for a range of housing options to ensure access to homes for a range of household types, centrally located new community facilities and local retail, commercial and leisure services.</w:t>
      </w:r>
    </w:p>
    <w:p w:rsidR="00CD1B93" w:rsidRPr="00CD1B93"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I</w:t>
      </w:r>
      <w:r w:rsidR="00CD1B93" w:rsidRPr="00CD1B93">
        <w:rPr>
          <w:rFonts w:ascii="Arial" w:hAnsi="Arial" w:cs="Arial"/>
          <w:sz w:val="22"/>
          <w:szCs w:val="22"/>
        </w:rPr>
        <w:t>ncorporation of Environmentally Sustainable Design principles</w:t>
      </w:r>
      <w:r w:rsidR="005D1CF1">
        <w:rPr>
          <w:rFonts w:ascii="Arial" w:hAnsi="Arial" w:cs="Arial"/>
          <w:sz w:val="22"/>
          <w:szCs w:val="22"/>
        </w:rPr>
        <w:t xml:space="preserve"> through thoughtful layout of the road and trail network, landscaping provisions to assist with local climate conditions, provision for significant amounts of open space and requirement for sustainability management plans for new buildings.</w:t>
      </w:r>
    </w:p>
    <w:p w:rsidR="00CD1B93" w:rsidRPr="00CD1B93"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D</w:t>
      </w:r>
      <w:r w:rsidR="00CD1B93" w:rsidRPr="00CD1B93">
        <w:rPr>
          <w:rFonts w:ascii="Arial" w:hAnsi="Arial" w:cs="Arial"/>
          <w:sz w:val="22"/>
          <w:szCs w:val="22"/>
        </w:rPr>
        <w:t>iversity in housing choice including affordable housing</w:t>
      </w:r>
      <w:r w:rsidR="005D1CF1">
        <w:rPr>
          <w:rFonts w:ascii="Arial" w:hAnsi="Arial" w:cs="Arial"/>
          <w:sz w:val="22"/>
          <w:szCs w:val="22"/>
        </w:rPr>
        <w:t xml:space="preserve"> and the provision for a range of dwelling types from conventional detached housing to apartment living</w:t>
      </w:r>
      <w:r>
        <w:rPr>
          <w:rFonts w:ascii="Arial" w:hAnsi="Arial" w:cs="Arial"/>
          <w:sz w:val="22"/>
          <w:szCs w:val="22"/>
        </w:rPr>
        <w:t>.</w:t>
      </w:r>
    </w:p>
    <w:p w:rsidR="00CD1B93" w:rsidRPr="00F27102" w:rsidRDefault="00CB3222" w:rsidP="005D1CF1">
      <w:pPr>
        <w:pStyle w:val="StrategicAssessmentText"/>
        <w:numPr>
          <w:ilvl w:val="0"/>
          <w:numId w:val="47"/>
        </w:numPr>
        <w:ind w:left="284" w:hanging="284"/>
        <w:jc w:val="left"/>
        <w:rPr>
          <w:rFonts w:ascii="Arial" w:hAnsi="Arial" w:cs="Arial"/>
          <w:sz w:val="22"/>
          <w:szCs w:val="22"/>
        </w:rPr>
      </w:pPr>
      <w:r>
        <w:rPr>
          <w:rFonts w:ascii="Arial" w:hAnsi="Arial" w:cs="Arial"/>
          <w:sz w:val="22"/>
          <w:szCs w:val="22"/>
        </w:rPr>
        <w:t>Z</w:t>
      </w:r>
      <w:r w:rsidR="00CD1B93" w:rsidRPr="00CD1B93">
        <w:rPr>
          <w:rFonts w:ascii="Arial" w:hAnsi="Arial" w:cs="Arial"/>
          <w:sz w:val="22"/>
          <w:szCs w:val="22"/>
        </w:rPr>
        <w:t xml:space="preserve">oning and planning controls </w:t>
      </w:r>
      <w:r w:rsidR="005D1CF1">
        <w:rPr>
          <w:rFonts w:ascii="Arial" w:hAnsi="Arial" w:cs="Arial"/>
          <w:sz w:val="22"/>
          <w:szCs w:val="22"/>
        </w:rPr>
        <w:t>that ensure each site is considered with regard to the proper integration of whole area.</w:t>
      </w:r>
    </w:p>
    <w:p w:rsidR="00E401A9" w:rsidRPr="00420A5B" w:rsidRDefault="00E401A9" w:rsidP="00E401A9">
      <w:pPr>
        <w:pStyle w:val="Heading3"/>
        <w:numPr>
          <w:ilvl w:val="0"/>
          <w:numId w:val="0"/>
        </w:numPr>
        <w:jc w:val="left"/>
        <w:rPr>
          <w:rFonts w:ascii="Arial" w:hAnsi="Arial" w:cs="Arial"/>
          <w:szCs w:val="24"/>
        </w:rPr>
      </w:pPr>
      <w:r>
        <w:rPr>
          <w:rFonts w:ascii="Arial" w:hAnsi="Arial" w:cs="Arial"/>
          <w:szCs w:val="24"/>
        </w:rPr>
        <w:t>Does the A</w:t>
      </w:r>
      <w:r w:rsidRPr="00420A5B">
        <w:rPr>
          <w:rFonts w:ascii="Arial" w:hAnsi="Arial" w:cs="Arial"/>
          <w:szCs w:val="24"/>
        </w:rPr>
        <w:t>mendment make proper use of the Victoria Planning Provisions?</w:t>
      </w:r>
    </w:p>
    <w:p w:rsidR="00E401A9" w:rsidRPr="00F27102" w:rsidRDefault="003B0DBC" w:rsidP="00E401A9">
      <w:pPr>
        <w:pStyle w:val="StrategicAssessmentText"/>
        <w:ind w:left="0"/>
        <w:jc w:val="left"/>
        <w:rPr>
          <w:rFonts w:ascii="Arial" w:hAnsi="Arial" w:cs="Arial"/>
          <w:sz w:val="22"/>
          <w:szCs w:val="22"/>
        </w:rPr>
      </w:pPr>
      <w:r>
        <w:rPr>
          <w:rFonts w:ascii="Arial" w:hAnsi="Arial" w:cs="Arial"/>
          <w:sz w:val="22"/>
          <w:szCs w:val="22"/>
        </w:rPr>
        <w:t>The amendment uses various standard local provisions from the Victoria Planning Provisions in the manner set out the Act and the relevant ministerial direction.</w:t>
      </w:r>
    </w:p>
    <w:p w:rsidR="00E401A9" w:rsidRPr="00420A5B" w:rsidRDefault="00E401A9" w:rsidP="00E401A9">
      <w:pPr>
        <w:pStyle w:val="Heading3"/>
        <w:numPr>
          <w:ilvl w:val="0"/>
          <w:numId w:val="0"/>
        </w:numPr>
        <w:jc w:val="left"/>
        <w:rPr>
          <w:rFonts w:ascii="Arial" w:hAnsi="Arial" w:cs="Arial"/>
          <w:szCs w:val="24"/>
        </w:rPr>
      </w:pPr>
      <w:r>
        <w:rPr>
          <w:rFonts w:ascii="Arial" w:hAnsi="Arial" w:cs="Arial"/>
          <w:szCs w:val="24"/>
        </w:rPr>
        <w:t>How does the A</w:t>
      </w:r>
      <w:r w:rsidRPr="00420A5B">
        <w:rPr>
          <w:rFonts w:ascii="Arial" w:hAnsi="Arial" w:cs="Arial"/>
          <w:szCs w:val="24"/>
        </w:rPr>
        <w:t>mendment address the views of any relevant agency?</w:t>
      </w:r>
    </w:p>
    <w:p w:rsidR="00E401A9" w:rsidRDefault="003B0DBC" w:rsidP="00E401A9">
      <w:pPr>
        <w:pStyle w:val="StrategicAssessmentText"/>
        <w:ind w:left="0"/>
        <w:jc w:val="left"/>
        <w:rPr>
          <w:rFonts w:ascii="Arial" w:hAnsi="Arial" w:cs="Arial"/>
          <w:sz w:val="22"/>
          <w:szCs w:val="22"/>
        </w:rPr>
      </w:pPr>
      <w:r>
        <w:rPr>
          <w:rFonts w:ascii="Arial" w:hAnsi="Arial" w:cs="Arial"/>
          <w:sz w:val="22"/>
          <w:szCs w:val="22"/>
        </w:rPr>
        <w:t>Where appropriate, the amendment has incorporated recommendations from the EPA in relation to land remediation, Melbourne Water in relation to drainage assets on the land, Public Transport Victoria in relation to adjacent and future bus and rail networks, VicRoads in relation to the arterial road network and licensees of nearby fuel transmission pipelines.</w:t>
      </w:r>
    </w:p>
    <w:p w:rsidR="008620C4" w:rsidRPr="00F27102" w:rsidRDefault="008620C4" w:rsidP="00E401A9">
      <w:pPr>
        <w:pStyle w:val="StrategicAssessmentText"/>
        <w:ind w:left="0"/>
        <w:jc w:val="left"/>
        <w:rPr>
          <w:rFonts w:ascii="Arial" w:hAnsi="Arial" w:cs="Arial"/>
          <w:sz w:val="22"/>
          <w:szCs w:val="22"/>
        </w:rPr>
      </w:pPr>
    </w:p>
    <w:p w:rsidR="00E401A9" w:rsidRPr="00420A5B" w:rsidRDefault="00E401A9" w:rsidP="00E401A9">
      <w:pPr>
        <w:pStyle w:val="Heading3"/>
        <w:numPr>
          <w:ilvl w:val="0"/>
          <w:numId w:val="0"/>
        </w:numPr>
        <w:jc w:val="left"/>
        <w:rPr>
          <w:rFonts w:ascii="Arial" w:hAnsi="Arial" w:cs="Arial"/>
          <w:szCs w:val="24"/>
        </w:rPr>
      </w:pPr>
      <w:r w:rsidRPr="00420A5B">
        <w:rPr>
          <w:rFonts w:ascii="Arial" w:hAnsi="Arial" w:cs="Arial"/>
          <w:szCs w:val="24"/>
        </w:rPr>
        <w:lastRenderedPageBreak/>
        <w:t>D</w:t>
      </w:r>
      <w:r>
        <w:rPr>
          <w:rFonts w:ascii="Arial" w:hAnsi="Arial" w:cs="Arial"/>
          <w:szCs w:val="24"/>
        </w:rPr>
        <w:t>oes the A</w:t>
      </w:r>
      <w:r w:rsidRPr="00420A5B">
        <w:rPr>
          <w:rFonts w:ascii="Arial" w:hAnsi="Arial" w:cs="Arial"/>
          <w:szCs w:val="24"/>
        </w:rPr>
        <w:t>mendment address relevant requirements of the Transport Integration Act 2010?</w:t>
      </w:r>
    </w:p>
    <w:p w:rsidR="007B013B" w:rsidRPr="007B013B" w:rsidRDefault="007B013B" w:rsidP="007B013B">
      <w:pPr>
        <w:pStyle w:val="StrategicAssessmentText"/>
        <w:ind w:left="0"/>
        <w:jc w:val="left"/>
        <w:rPr>
          <w:rFonts w:ascii="Arial" w:hAnsi="Arial" w:cs="Arial"/>
          <w:sz w:val="22"/>
          <w:szCs w:val="22"/>
        </w:rPr>
      </w:pPr>
      <w:r w:rsidRPr="007B013B">
        <w:rPr>
          <w:rFonts w:ascii="Arial" w:hAnsi="Arial" w:cs="Arial"/>
          <w:sz w:val="22"/>
          <w:szCs w:val="22"/>
        </w:rPr>
        <w:t xml:space="preserve">The amendment is likely to have a significant impact on the transport system at a local level. It will require </w:t>
      </w:r>
      <w:r>
        <w:rPr>
          <w:rFonts w:ascii="Arial" w:hAnsi="Arial" w:cs="Arial"/>
          <w:sz w:val="22"/>
          <w:szCs w:val="22"/>
        </w:rPr>
        <w:t xml:space="preserve">new connection </w:t>
      </w:r>
      <w:r w:rsidRPr="007B013B">
        <w:rPr>
          <w:rFonts w:ascii="Arial" w:hAnsi="Arial" w:cs="Arial"/>
          <w:sz w:val="22"/>
          <w:szCs w:val="22"/>
        </w:rPr>
        <w:t xml:space="preserve">to the regional road network </w:t>
      </w:r>
      <w:r>
        <w:rPr>
          <w:rFonts w:ascii="Arial" w:hAnsi="Arial" w:cs="Arial"/>
          <w:sz w:val="22"/>
          <w:szCs w:val="22"/>
        </w:rPr>
        <w:t xml:space="preserve">at Blackshaws Road </w:t>
      </w:r>
      <w:r w:rsidRPr="007B013B">
        <w:rPr>
          <w:rFonts w:ascii="Arial" w:hAnsi="Arial" w:cs="Arial"/>
          <w:sz w:val="22"/>
          <w:szCs w:val="22"/>
        </w:rPr>
        <w:t xml:space="preserve">and provides for the creation of a new local road network that will set the future pattern of development in the precinct. It will allow the development of a bus network in the area and create demand for </w:t>
      </w:r>
      <w:r>
        <w:rPr>
          <w:rFonts w:ascii="Arial" w:hAnsi="Arial" w:cs="Arial"/>
          <w:sz w:val="22"/>
          <w:szCs w:val="22"/>
        </w:rPr>
        <w:t xml:space="preserve">public transport </w:t>
      </w:r>
      <w:r w:rsidRPr="007B013B">
        <w:rPr>
          <w:rFonts w:ascii="Arial" w:hAnsi="Arial" w:cs="Arial"/>
          <w:sz w:val="22"/>
          <w:szCs w:val="22"/>
        </w:rPr>
        <w:t>services.</w:t>
      </w:r>
    </w:p>
    <w:p w:rsidR="007B013B" w:rsidRPr="007B013B" w:rsidRDefault="007B013B" w:rsidP="007B013B">
      <w:pPr>
        <w:pStyle w:val="StrategicAssessmentText"/>
        <w:ind w:left="0"/>
        <w:jc w:val="left"/>
        <w:rPr>
          <w:rFonts w:ascii="Arial" w:hAnsi="Arial" w:cs="Arial"/>
          <w:sz w:val="22"/>
          <w:szCs w:val="22"/>
        </w:rPr>
      </w:pPr>
      <w:r w:rsidRPr="007B013B">
        <w:rPr>
          <w:rFonts w:ascii="Arial" w:hAnsi="Arial" w:cs="Arial"/>
          <w:sz w:val="22"/>
          <w:szCs w:val="22"/>
        </w:rPr>
        <w:t>The proposed additions and changes to the existing transport system in and adjacent to the precinct will meet the transport system objectives by:</w:t>
      </w:r>
    </w:p>
    <w:p w:rsidR="007B013B" w:rsidRPr="007B013B" w:rsidRDefault="007B013B" w:rsidP="007B013B">
      <w:pPr>
        <w:pStyle w:val="StrategicAssessmentText"/>
        <w:numPr>
          <w:ilvl w:val="0"/>
          <w:numId w:val="45"/>
        </w:numPr>
        <w:ind w:left="284" w:hanging="284"/>
        <w:jc w:val="left"/>
        <w:rPr>
          <w:rFonts w:ascii="Arial" w:hAnsi="Arial" w:cs="Arial"/>
          <w:sz w:val="22"/>
          <w:szCs w:val="22"/>
        </w:rPr>
      </w:pPr>
      <w:r w:rsidRPr="007B013B">
        <w:rPr>
          <w:rFonts w:ascii="Arial" w:hAnsi="Arial" w:cs="Arial"/>
          <w:sz w:val="22"/>
          <w:szCs w:val="22"/>
        </w:rPr>
        <w:t>Providing for an interconnected road system that responds to the likely level of use generated by the precinct and hence facilitating investment in housing and local retail services in the area.</w:t>
      </w:r>
    </w:p>
    <w:p w:rsidR="007B013B" w:rsidRPr="007B013B" w:rsidRDefault="007B013B" w:rsidP="007B013B">
      <w:pPr>
        <w:pStyle w:val="StrategicAssessmentText"/>
        <w:numPr>
          <w:ilvl w:val="0"/>
          <w:numId w:val="45"/>
        </w:numPr>
        <w:ind w:left="284" w:hanging="284"/>
        <w:jc w:val="left"/>
        <w:rPr>
          <w:rFonts w:ascii="Arial" w:hAnsi="Arial" w:cs="Arial"/>
          <w:sz w:val="22"/>
          <w:szCs w:val="22"/>
        </w:rPr>
      </w:pPr>
      <w:r w:rsidRPr="007B013B">
        <w:rPr>
          <w:rFonts w:ascii="Arial" w:hAnsi="Arial" w:cs="Arial"/>
          <w:sz w:val="22"/>
          <w:szCs w:val="22"/>
        </w:rPr>
        <w:t xml:space="preserve">Enabling efficient access to existing and planned employment and services in and around </w:t>
      </w:r>
      <w:r>
        <w:rPr>
          <w:rFonts w:ascii="Arial" w:hAnsi="Arial" w:cs="Arial"/>
          <w:sz w:val="22"/>
          <w:szCs w:val="22"/>
        </w:rPr>
        <w:t>Altona North</w:t>
      </w:r>
      <w:r w:rsidRPr="007B013B">
        <w:rPr>
          <w:rFonts w:ascii="Arial" w:hAnsi="Arial" w:cs="Arial"/>
          <w:sz w:val="22"/>
          <w:szCs w:val="22"/>
        </w:rPr>
        <w:t xml:space="preserve">, and the </w:t>
      </w:r>
      <w:r>
        <w:rPr>
          <w:rFonts w:ascii="Arial" w:hAnsi="Arial" w:cs="Arial"/>
          <w:sz w:val="22"/>
          <w:szCs w:val="22"/>
        </w:rPr>
        <w:t xml:space="preserve">broader </w:t>
      </w:r>
      <w:r w:rsidRPr="007B013B">
        <w:rPr>
          <w:rFonts w:ascii="Arial" w:hAnsi="Arial" w:cs="Arial"/>
          <w:sz w:val="22"/>
          <w:szCs w:val="22"/>
        </w:rPr>
        <w:t xml:space="preserve">region, through </w:t>
      </w:r>
      <w:r>
        <w:rPr>
          <w:rFonts w:ascii="Arial" w:hAnsi="Arial" w:cs="Arial"/>
          <w:sz w:val="22"/>
          <w:szCs w:val="22"/>
        </w:rPr>
        <w:t xml:space="preserve">direct </w:t>
      </w:r>
      <w:r w:rsidRPr="007B013B">
        <w:rPr>
          <w:rFonts w:ascii="Arial" w:hAnsi="Arial" w:cs="Arial"/>
          <w:sz w:val="22"/>
          <w:szCs w:val="22"/>
        </w:rPr>
        <w:t>connections to the arterial road network and bus and train services.</w:t>
      </w:r>
    </w:p>
    <w:p w:rsidR="007B013B" w:rsidRPr="007B013B" w:rsidRDefault="007B013B" w:rsidP="007B013B">
      <w:pPr>
        <w:pStyle w:val="StrategicAssessmentText"/>
        <w:numPr>
          <w:ilvl w:val="0"/>
          <w:numId w:val="45"/>
        </w:numPr>
        <w:ind w:left="284" w:hanging="284"/>
        <w:jc w:val="left"/>
        <w:rPr>
          <w:rFonts w:ascii="Arial" w:hAnsi="Arial" w:cs="Arial"/>
          <w:sz w:val="22"/>
          <w:szCs w:val="22"/>
        </w:rPr>
      </w:pPr>
      <w:r w:rsidRPr="007B013B">
        <w:rPr>
          <w:rFonts w:ascii="Arial" w:hAnsi="Arial" w:cs="Arial"/>
          <w:sz w:val="22"/>
          <w:szCs w:val="22"/>
        </w:rPr>
        <w:t>Providing locally based sports, recreational, community and retail facilities to reduce the need for extended travel.</w:t>
      </w:r>
    </w:p>
    <w:p w:rsidR="00CB3222" w:rsidRDefault="007B013B" w:rsidP="007B013B">
      <w:pPr>
        <w:pStyle w:val="StrategicAssessmentText"/>
        <w:numPr>
          <w:ilvl w:val="0"/>
          <w:numId w:val="45"/>
        </w:numPr>
        <w:ind w:left="284" w:hanging="284"/>
        <w:jc w:val="left"/>
        <w:rPr>
          <w:rFonts w:ascii="Arial" w:hAnsi="Arial" w:cs="Arial"/>
          <w:sz w:val="22"/>
          <w:szCs w:val="22"/>
        </w:rPr>
      </w:pPr>
      <w:r w:rsidRPr="007B013B">
        <w:rPr>
          <w:rFonts w:ascii="Arial" w:hAnsi="Arial" w:cs="Arial"/>
          <w:sz w:val="22"/>
          <w:szCs w:val="22"/>
        </w:rPr>
        <w:t>Designing roads that are of a suitable scale, are compatible with the expected travel demand</w:t>
      </w:r>
      <w:r w:rsidR="00CB3222">
        <w:rPr>
          <w:rFonts w:ascii="Arial" w:hAnsi="Arial" w:cs="Arial"/>
          <w:sz w:val="22"/>
          <w:szCs w:val="22"/>
        </w:rPr>
        <w:t xml:space="preserve">. </w:t>
      </w:r>
    </w:p>
    <w:p w:rsidR="007B013B" w:rsidRPr="007B013B" w:rsidRDefault="00CB3222" w:rsidP="007B013B">
      <w:pPr>
        <w:pStyle w:val="StrategicAssessmentText"/>
        <w:numPr>
          <w:ilvl w:val="0"/>
          <w:numId w:val="45"/>
        </w:numPr>
        <w:ind w:left="284" w:hanging="284"/>
        <w:jc w:val="left"/>
        <w:rPr>
          <w:rFonts w:ascii="Arial" w:hAnsi="Arial" w:cs="Arial"/>
          <w:sz w:val="22"/>
          <w:szCs w:val="22"/>
        </w:rPr>
      </w:pPr>
      <w:r>
        <w:rPr>
          <w:rFonts w:ascii="Arial" w:hAnsi="Arial" w:cs="Arial"/>
          <w:sz w:val="22"/>
          <w:szCs w:val="22"/>
        </w:rPr>
        <w:t>Providing</w:t>
      </w:r>
      <w:r w:rsidR="007B013B" w:rsidRPr="007B013B">
        <w:rPr>
          <w:rFonts w:ascii="Arial" w:hAnsi="Arial" w:cs="Arial"/>
          <w:sz w:val="22"/>
          <w:szCs w:val="22"/>
        </w:rPr>
        <w:t xml:space="preserve"> for the efficient construction of </w:t>
      </w:r>
      <w:r>
        <w:rPr>
          <w:rFonts w:ascii="Arial" w:hAnsi="Arial" w:cs="Arial"/>
          <w:sz w:val="22"/>
          <w:szCs w:val="22"/>
        </w:rPr>
        <w:t xml:space="preserve">infrastructure </w:t>
      </w:r>
      <w:r w:rsidR="007B013B" w:rsidRPr="007B013B">
        <w:rPr>
          <w:rFonts w:ascii="Arial" w:hAnsi="Arial" w:cs="Arial"/>
          <w:sz w:val="22"/>
          <w:szCs w:val="22"/>
        </w:rPr>
        <w:t>items concurrent with works associated with subdivision development.</w:t>
      </w:r>
    </w:p>
    <w:p w:rsidR="007B013B" w:rsidRPr="007B013B" w:rsidRDefault="007B013B" w:rsidP="007B013B">
      <w:pPr>
        <w:pStyle w:val="StrategicAssessmentText"/>
        <w:numPr>
          <w:ilvl w:val="0"/>
          <w:numId w:val="45"/>
        </w:numPr>
        <w:ind w:left="284" w:hanging="284"/>
        <w:jc w:val="left"/>
        <w:rPr>
          <w:rFonts w:ascii="Arial" w:hAnsi="Arial" w:cs="Arial"/>
          <w:sz w:val="22"/>
          <w:szCs w:val="22"/>
        </w:rPr>
      </w:pPr>
      <w:r w:rsidRPr="007B013B">
        <w:rPr>
          <w:rFonts w:ascii="Arial" w:hAnsi="Arial" w:cs="Arial"/>
          <w:sz w:val="22"/>
          <w:szCs w:val="22"/>
        </w:rPr>
        <w:t>Integrating relevant government bodies involved in the provision of transport infrastructure and services in the decision making process of future planning permit applications.</w:t>
      </w:r>
    </w:p>
    <w:p w:rsidR="007B013B" w:rsidRDefault="007B013B" w:rsidP="007B013B">
      <w:pPr>
        <w:pStyle w:val="StrategicAssessmentText"/>
        <w:numPr>
          <w:ilvl w:val="0"/>
          <w:numId w:val="45"/>
        </w:numPr>
        <w:ind w:left="284" w:hanging="284"/>
        <w:jc w:val="left"/>
        <w:rPr>
          <w:rFonts w:ascii="Arial" w:hAnsi="Arial" w:cs="Arial"/>
          <w:sz w:val="22"/>
          <w:szCs w:val="22"/>
        </w:rPr>
      </w:pPr>
      <w:r>
        <w:rPr>
          <w:rFonts w:ascii="Arial" w:hAnsi="Arial" w:cs="Arial"/>
          <w:sz w:val="22"/>
          <w:szCs w:val="22"/>
        </w:rPr>
        <w:t>Protecting the ongoing operation of freeway and rail services in the area through protecting against noise and vibration from these services.</w:t>
      </w:r>
    </w:p>
    <w:p w:rsidR="00E401A9" w:rsidRPr="00420A5B" w:rsidRDefault="007B013B" w:rsidP="007B013B">
      <w:pPr>
        <w:pStyle w:val="StrategicAssessmentText"/>
        <w:numPr>
          <w:ilvl w:val="0"/>
          <w:numId w:val="45"/>
        </w:numPr>
        <w:ind w:left="284" w:hanging="284"/>
        <w:jc w:val="left"/>
        <w:rPr>
          <w:rFonts w:ascii="Arial" w:hAnsi="Arial" w:cs="Arial"/>
          <w:sz w:val="22"/>
          <w:szCs w:val="22"/>
        </w:rPr>
      </w:pPr>
      <w:r>
        <w:rPr>
          <w:rFonts w:ascii="Arial" w:hAnsi="Arial" w:cs="Arial"/>
          <w:sz w:val="22"/>
          <w:szCs w:val="22"/>
        </w:rPr>
        <w:t>Recognising planning for the Western Distributor</w:t>
      </w:r>
      <w:r w:rsidRPr="007B013B">
        <w:rPr>
          <w:rFonts w:ascii="Arial" w:hAnsi="Arial" w:cs="Arial"/>
          <w:sz w:val="22"/>
          <w:szCs w:val="22"/>
        </w:rPr>
        <w:t>.</w:t>
      </w:r>
    </w:p>
    <w:p w:rsidR="00E401A9" w:rsidRPr="00823BB7" w:rsidRDefault="00E401A9" w:rsidP="00E401A9">
      <w:pPr>
        <w:pStyle w:val="Heading2"/>
        <w:jc w:val="left"/>
        <w:rPr>
          <w:rFonts w:cs="Arial"/>
        </w:rPr>
      </w:pPr>
      <w:r w:rsidRPr="00823BB7">
        <w:rPr>
          <w:rFonts w:cs="Arial"/>
        </w:rPr>
        <w:t>Resource and administrative costs</w:t>
      </w:r>
    </w:p>
    <w:p w:rsidR="00E401A9" w:rsidRPr="00823BB7" w:rsidRDefault="00E401A9" w:rsidP="00E401A9">
      <w:pPr>
        <w:pStyle w:val="Heading3"/>
        <w:jc w:val="left"/>
        <w:rPr>
          <w:rFonts w:ascii="Arial" w:hAnsi="Arial" w:cs="Arial"/>
          <w:szCs w:val="24"/>
        </w:rPr>
      </w:pPr>
      <w:r w:rsidRPr="00823BB7">
        <w:rPr>
          <w:rFonts w:ascii="Arial" w:hAnsi="Arial" w:cs="Arial"/>
          <w:szCs w:val="24"/>
        </w:rPr>
        <w:t>What impact will the new planning provisions have on the resource and administrative costs of the responsible authority?</w:t>
      </w:r>
    </w:p>
    <w:p w:rsidR="00E401A9" w:rsidRDefault="003B0DBC" w:rsidP="00E401A9">
      <w:pPr>
        <w:jc w:val="left"/>
        <w:rPr>
          <w:rFonts w:ascii="Arial" w:hAnsi="Arial" w:cs="Arial"/>
          <w:sz w:val="22"/>
          <w:szCs w:val="22"/>
        </w:rPr>
      </w:pPr>
      <w:r>
        <w:rPr>
          <w:rFonts w:ascii="Arial" w:hAnsi="Arial" w:cs="Arial"/>
          <w:sz w:val="22"/>
          <w:szCs w:val="22"/>
        </w:rPr>
        <w:t xml:space="preserve">The planning provisions will require </w:t>
      </w:r>
      <w:r w:rsidR="001D09C5">
        <w:rPr>
          <w:rFonts w:ascii="Arial" w:hAnsi="Arial" w:cs="Arial"/>
          <w:sz w:val="22"/>
          <w:szCs w:val="22"/>
        </w:rPr>
        <w:t>a moderate level of administration by the responsible authority. No intervening plans are required before permit applications can be considered, which will reduce the administrative burden. The amendment implements a resolved structure plan and development contributions plan for the area. In most cases this will obviate the need for further notification of individual permit applications but require more intensive scrutiny of each application. However the comprehensive and integrated nature of the provisions will ensure that development of each parcel of land should require only one major permit application to enable development.</w:t>
      </w:r>
    </w:p>
    <w:p w:rsidR="00E401A9" w:rsidRPr="00823BB7" w:rsidRDefault="00E401A9" w:rsidP="00E401A9">
      <w:pPr>
        <w:pStyle w:val="Heading2"/>
        <w:jc w:val="left"/>
        <w:rPr>
          <w:rFonts w:cs="Arial"/>
        </w:rPr>
      </w:pPr>
      <w:r w:rsidRPr="00823BB7">
        <w:rPr>
          <w:rFonts w:cs="Arial"/>
        </w:rPr>
        <w:t>Where you may inspect this Amendment</w:t>
      </w:r>
    </w:p>
    <w:p w:rsidR="00852F9F" w:rsidRDefault="00852F9F" w:rsidP="00852F9F">
      <w:pPr>
        <w:jc w:val="left"/>
        <w:rPr>
          <w:rFonts w:ascii="Arial" w:hAnsi="Arial" w:cs="Arial"/>
          <w:sz w:val="22"/>
          <w:szCs w:val="22"/>
        </w:rPr>
      </w:pPr>
      <w:r w:rsidRPr="00F27102">
        <w:rPr>
          <w:rFonts w:ascii="Arial" w:hAnsi="Arial" w:cs="Arial"/>
          <w:sz w:val="22"/>
          <w:szCs w:val="22"/>
        </w:rPr>
        <w:t xml:space="preserve">The </w:t>
      </w:r>
      <w:r>
        <w:rPr>
          <w:rFonts w:ascii="Arial" w:hAnsi="Arial" w:cs="Arial"/>
          <w:sz w:val="22"/>
          <w:szCs w:val="22"/>
        </w:rPr>
        <w:t>A</w:t>
      </w:r>
      <w:r w:rsidRPr="00F27102">
        <w:rPr>
          <w:rFonts w:ascii="Arial" w:hAnsi="Arial" w:cs="Arial"/>
          <w:sz w:val="22"/>
          <w:szCs w:val="22"/>
        </w:rPr>
        <w:t>mendment is available for public inspection, free of charge, during office hours at the following places:</w:t>
      </w:r>
    </w:p>
    <w:p w:rsidR="00852F9F" w:rsidRDefault="00852F9F" w:rsidP="00852F9F">
      <w:pPr>
        <w:jc w:val="left"/>
        <w:rPr>
          <w:rFonts w:ascii="Arial" w:hAnsi="Arial" w:cs="Arial"/>
          <w:sz w:val="22"/>
          <w:szCs w:val="22"/>
        </w:rPr>
      </w:pPr>
    </w:p>
    <w:p w:rsidR="00852F9F" w:rsidRDefault="00852F9F" w:rsidP="00852F9F">
      <w:pPr>
        <w:jc w:val="left"/>
        <w:rPr>
          <w:rFonts w:ascii="Arial" w:hAnsi="Arial" w:cs="Arial"/>
          <w:sz w:val="22"/>
          <w:szCs w:val="22"/>
        </w:rPr>
        <w:sectPr w:rsidR="00852F9F" w:rsidSect="00E85EC7">
          <w:headerReference w:type="default" r:id="rId10"/>
          <w:footerReference w:type="default" r:id="rId11"/>
          <w:type w:val="continuous"/>
          <w:pgSz w:w="11907" w:h="16840" w:code="9"/>
          <w:pgMar w:top="993" w:right="1423" w:bottom="851" w:left="1440" w:header="737" w:footer="851" w:gutter="0"/>
          <w:cols w:space="737"/>
          <w:titlePg/>
        </w:sectPr>
      </w:pPr>
    </w:p>
    <w:p w:rsidR="00852F9F" w:rsidRDefault="00852F9F" w:rsidP="00852F9F">
      <w:pPr>
        <w:autoSpaceDE w:val="0"/>
        <w:autoSpaceDN w:val="0"/>
        <w:adjustRightInd w:val="0"/>
        <w:spacing w:before="0"/>
        <w:jc w:val="left"/>
        <w:rPr>
          <w:rFonts w:ascii="Arial" w:hAnsi="Arial" w:cs="Arial"/>
          <w:sz w:val="22"/>
          <w:szCs w:val="22"/>
        </w:rPr>
      </w:pPr>
      <w:r w:rsidRPr="006040F5">
        <w:rPr>
          <w:rFonts w:ascii="Arial" w:hAnsi="Arial" w:cs="Arial"/>
          <w:sz w:val="22"/>
          <w:szCs w:val="22"/>
        </w:rPr>
        <w:t>Hobsons Bay City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Altona North Library</w:t>
      </w:r>
    </w:p>
    <w:p w:rsidR="00852F9F" w:rsidRPr="006040F5" w:rsidRDefault="00852F9F" w:rsidP="00852F9F">
      <w:pPr>
        <w:autoSpaceDE w:val="0"/>
        <w:autoSpaceDN w:val="0"/>
        <w:adjustRightInd w:val="0"/>
        <w:spacing w:before="0"/>
        <w:jc w:val="left"/>
        <w:rPr>
          <w:rFonts w:ascii="Arial" w:hAnsi="Arial" w:cs="Arial"/>
          <w:sz w:val="22"/>
          <w:szCs w:val="22"/>
        </w:rPr>
      </w:pPr>
      <w:r w:rsidRPr="006040F5">
        <w:rPr>
          <w:rFonts w:ascii="Arial" w:hAnsi="Arial" w:cs="Arial"/>
          <w:sz w:val="22"/>
          <w:szCs w:val="22"/>
        </w:rPr>
        <w:t>Hobsons Bay Civic Centre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180 Millers Road</w:t>
      </w:r>
    </w:p>
    <w:p w:rsidR="00852F9F" w:rsidRPr="006040F5" w:rsidRDefault="00852F9F" w:rsidP="00852F9F">
      <w:pPr>
        <w:autoSpaceDE w:val="0"/>
        <w:autoSpaceDN w:val="0"/>
        <w:adjustRightInd w:val="0"/>
        <w:spacing w:before="0"/>
        <w:jc w:val="left"/>
        <w:rPr>
          <w:rFonts w:ascii="Arial" w:hAnsi="Arial" w:cs="Arial"/>
          <w:sz w:val="22"/>
          <w:szCs w:val="22"/>
        </w:rPr>
      </w:pPr>
      <w:r w:rsidRPr="006040F5">
        <w:rPr>
          <w:rFonts w:ascii="Arial" w:hAnsi="Arial" w:cs="Arial"/>
          <w:sz w:val="22"/>
          <w:szCs w:val="22"/>
        </w:rPr>
        <w:t>115 Civic Parade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ALTONA NORTH VIC 3025</w:t>
      </w:r>
    </w:p>
    <w:p w:rsidR="00852F9F" w:rsidRPr="006040F5" w:rsidRDefault="00852F9F" w:rsidP="00852F9F">
      <w:pPr>
        <w:autoSpaceDE w:val="0"/>
        <w:autoSpaceDN w:val="0"/>
        <w:adjustRightInd w:val="0"/>
        <w:spacing w:before="0"/>
        <w:jc w:val="left"/>
        <w:rPr>
          <w:rFonts w:ascii="Arial" w:hAnsi="Arial" w:cs="Arial"/>
          <w:sz w:val="22"/>
          <w:szCs w:val="22"/>
        </w:rPr>
      </w:pPr>
      <w:r w:rsidRPr="006040F5">
        <w:rPr>
          <w:rFonts w:ascii="Arial" w:hAnsi="Arial" w:cs="Arial"/>
          <w:sz w:val="22"/>
          <w:szCs w:val="22"/>
        </w:rPr>
        <w:t>ALTONA   VIC   3018</w:t>
      </w:r>
    </w:p>
    <w:p w:rsidR="00852F9F" w:rsidRPr="006040F5" w:rsidRDefault="00852F9F" w:rsidP="00852F9F">
      <w:pPr>
        <w:autoSpaceDE w:val="0"/>
        <w:autoSpaceDN w:val="0"/>
        <w:adjustRightInd w:val="0"/>
        <w:spacing w:before="0"/>
        <w:jc w:val="left"/>
        <w:rPr>
          <w:rFonts w:ascii="Arial" w:hAnsi="Arial" w:cs="Arial"/>
          <w:sz w:val="22"/>
          <w:szCs w:val="22"/>
        </w:rPr>
      </w:pPr>
    </w:p>
    <w:p w:rsidR="00852F9F" w:rsidRDefault="00852F9F" w:rsidP="00852F9F">
      <w:pPr>
        <w:autoSpaceDE w:val="0"/>
        <w:autoSpaceDN w:val="0"/>
        <w:adjustRightInd w:val="0"/>
        <w:spacing w:before="0"/>
        <w:jc w:val="left"/>
        <w:rPr>
          <w:rFonts w:ascii="Arial" w:hAnsi="Arial" w:cs="Arial"/>
          <w:sz w:val="22"/>
          <w:szCs w:val="22"/>
        </w:rPr>
      </w:pPr>
      <w:r>
        <w:rPr>
          <w:rFonts w:ascii="Arial" w:hAnsi="Arial" w:cs="Arial"/>
          <w:sz w:val="22"/>
          <w:szCs w:val="22"/>
        </w:rPr>
        <w:t>Altona Library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Newport Library</w:t>
      </w:r>
    </w:p>
    <w:p w:rsidR="00852F9F" w:rsidRDefault="00852F9F" w:rsidP="00852F9F">
      <w:pPr>
        <w:autoSpaceDE w:val="0"/>
        <w:autoSpaceDN w:val="0"/>
        <w:adjustRightInd w:val="0"/>
        <w:spacing w:before="0"/>
        <w:jc w:val="left"/>
        <w:rPr>
          <w:rFonts w:ascii="Arial" w:hAnsi="Arial" w:cs="Arial"/>
          <w:sz w:val="22"/>
          <w:szCs w:val="22"/>
        </w:rPr>
      </w:pPr>
      <w:r>
        <w:rPr>
          <w:rFonts w:ascii="Arial" w:hAnsi="Arial" w:cs="Arial"/>
          <w:sz w:val="22"/>
          <w:szCs w:val="22"/>
        </w:rPr>
        <w:t>123 Queen Street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 Mason Street</w:t>
      </w:r>
    </w:p>
    <w:p w:rsidR="00852F9F" w:rsidRDefault="00852F9F" w:rsidP="00852F9F">
      <w:pPr>
        <w:autoSpaceDE w:val="0"/>
        <w:autoSpaceDN w:val="0"/>
        <w:adjustRightInd w:val="0"/>
        <w:spacing w:before="0"/>
        <w:jc w:val="left"/>
        <w:rPr>
          <w:rFonts w:ascii="Arial" w:hAnsi="Arial" w:cs="Arial"/>
          <w:sz w:val="22"/>
          <w:szCs w:val="22"/>
        </w:rPr>
      </w:pPr>
      <w:r>
        <w:rPr>
          <w:rFonts w:ascii="Arial" w:hAnsi="Arial" w:cs="Arial"/>
          <w:sz w:val="22"/>
          <w:szCs w:val="22"/>
        </w:rPr>
        <w:t>ALTONA VIC 3018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NEWPORT VIC 3015</w:t>
      </w:r>
    </w:p>
    <w:p w:rsidR="00852F9F" w:rsidRDefault="00852F9F" w:rsidP="00852F9F">
      <w:pPr>
        <w:autoSpaceDE w:val="0"/>
        <w:autoSpaceDN w:val="0"/>
        <w:adjustRightInd w:val="0"/>
        <w:spacing w:before="0"/>
        <w:jc w:val="left"/>
        <w:rPr>
          <w:rFonts w:ascii="Arial" w:hAnsi="Arial" w:cs="Arial"/>
          <w:sz w:val="22"/>
          <w:szCs w:val="22"/>
        </w:rPr>
      </w:pPr>
    </w:p>
    <w:p w:rsidR="00852F9F" w:rsidRDefault="00852F9F" w:rsidP="00852F9F">
      <w:pPr>
        <w:autoSpaceDE w:val="0"/>
        <w:autoSpaceDN w:val="0"/>
        <w:adjustRightInd w:val="0"/>
        <w:spacing w:before="0"/>
        <w:jc w:val="left"/>
        <w:rPr>
          <w:rFonts w:ascii="Arial" w:hAnsi="Arial" w:cs="Arial"/>
          <w:sz w:val="22"/>
          <w:szCs w:val="22"/>
        </w:rPr>
      </w:pPr>
      <w:r>
        <w:rPr>
          <w:rFonts w:ascii="Arial" w:hAnsi="Arial" w:cs="Arial"/>
          <w:sz w:val="22"/>
          <w:szCs w:val="22"/>
        </w:rPr>
        <w:t>Altona Meadows Library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Williamstown Library</w:t>
      </w:r>
    </w:p>
    <w:p w:rsidR="00852F9F" w:rsidRDefault="00852F9F" w:rsidP="00852F9F">
      <w:pPr>
        <w:autoSpaceDE w:val="0"/>
        <w:autoSpaceDN w:val="0"/>
        <w:adjustRightInd w:val="0"/>
        <w:spacing w:before="0"/>
        <w:jc w:val="left"/>
        <w:rPr>
          <w:rFonts w:ascii="Arial" w:hAnsi="Arial" w:cs="Arial"/>
          <w:sz w:val="22"/>
          <w:szCs w:val="22"/>
        </w:rPr>
      </w:pPr>
      <w:r>
        <w:rPr>
          <w:rFonts w:ascii="Arial" w:hAnsi="Arial" w:cs="Arial"/>
          <w:sz w:val="22"/>
          <w:szCs w:val="22"/>
        </w:rPr>
        <w:t>1-23 Central Avenue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104 Ferguson Street</w:t>
      </w:r>
    </w:p>
    <w:p w:rsidR="00852F9F" w:rsidRDefault="00852F9F" w:rsidP="00852F9F">
      <w:pPr>
        <w:autoSpaceDE w:val="0"/>
        <w:autoSpaceDN w:val="0"/>
        <w:adjustRightInd w:val="0"/>
        <w:spacing w:before="0"/>
        <w:jc w:val="left"/>
        <w:rPr>
          <w:rFonts w:ascii="Arial" w:hAnsi="Arial" w:cs="Arial"/>
          <w:sz w:val="22"/>
          <w:szCs w:val="22"/>
        </w:rPr>
      </w:pPr>
      <w:r>
        <w:rPr>
          <w:rFonts w:ascii="Arial" w:hAnsi="Arial" w:cs="Arial"/>
          <w:sz w:val="22"/>
          <w:szCs w:val="22"/>
        </w:rPr>
        <w:t>ALTONA MEADOWS VIC 3028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WILLIAMSTOWN VIC 3016</w:t>
      </w:r>
    </w:p>
    <w:p w:rsidR="00852F9F" w:rsidRDefault="00852F9F" w:rsidP="00852F9F">
      <w:pPr>
        <w:autoSpaceDE w:val="0"/>
        <w:autoSpaceDN w:val="0"/>
        <w:adjustRightInd w:val="0"/>
        <w:spacing w:before="0"/>
        <w:jc w:val="left"/>
        <w:rPr>
          <w:rFonts w:ascii="Arial" w:hAnsi="Arial" w:cs="Arial"/>
          <w:sz w:val="22"/>
          <w:szCs w:val="22"/>
        </w:rPr>
      </w:pPr>
    </w:p>
    <w:p w:rsidR="00E401A9" w:rsidRPr="00F27102" w:rsidRDefault="00E401A9" w:rsidP="00E401A9">
      <w:pPr>
        <w:jc w:val="left"/>
        <w:rPr>
          <w:rFonts w:ascii="Arial" w:hAnsi="Arial" w:cs="Arial"/>
          <w:sz w:val="22"/>
          <w:szCs w:val="22"/>
        </w:rPr>
      </w:pPr>
      <w:r w:rsidRPr="00F27102">
        <w:rPr>
          <w:rFonts w:ascii="Arial" w:hAnsi="Arial" w:cs="Arial"/>
          <w:sz w:val="22"/>
          <w:szCs w:val="22"/>
        </w:rPr>
        <w:t xml:space="preserve">The </w:t>
      </w:r>
      <w:r>
        <w:rPr>
          <w:rFonts w:ascii="Arial" w:hAnsi="Arial" w:cs="Arial"/>
          <w:sz w:val="22"/>
          <w:szCs w:val="22"/>
        </w:rPr>
        <w:t>A</w:t>
      </w:r>
      <w:r w:rsidRPr="00F27102">
        <w:rPr>
          <w:rFonts w:ascii="Arial" w:hAnsi="Arial" w:cs="Arial"/>
          <w:sz w:val="22"/>
          <w:szCs w:val="22"/>
        </w:rPr>
        <w:t xml:space="preserve">mendment can also be inspected free of charge at the </w:t>
      </w:r>
      <w:r w:rsidRPr="00855A78">
        <w:rPr>
          <w:rFonts w:ascii="Arial" w:hAnsi="Arial" w:cs="Arial"/>
          <w:sz w:val="22"/>
          <w:szCs w:val="22"/>
        </w:rPr>
        <w:t xml:space="preserve">Department of Environment, Land, Water and Planning </w:t>
      </w:r>
      <w:r w:rsidR="003B0DBC">
        <w:rPr>
          <w:rFonts w:ascii="Arial" w:hAnsi="Arial" w:cs="Arial"/>
          <w:sz w:val="22"/>
          <w:szCs w:val="22"/>
        </w:rPr>
        <w:t>website at</w:t>
      </w:r>
      <w:r>
        <w:rPr>
          <w:rFonts w:ascii="Arial" w:hAnsi="Arial" w:cs="Arial"/>
          <w:sz w:val="22"/>
          <w:szCs w:val="22"/>
        </w:rPr>
        <w:t xml:space="preserve"> </w:t>
      </w:r>
      <w:hyperlink r:id="rId12" w:history="1">
        <w:r w:rsidRPr="00FB78ED">
          <w:rPr>
            <w:rStyle w:val="Hyperlink"/>
            <w:rFonts w:ascii="Arial" w:hAnsi="Arial" w:cs="Arial"/>
            <w:sz w:val="22"/>
            <w:szCs w:val="22"/>
            <w:lang w:val="en"/>
          </w:rPr>
          <w:t>www.delwp.vic.gov.au/public-inspection</w:t>
        </w:r>
        <w:r w:rsidRPr="00FB78ED">
          <w:rPr>
            <w:rStyle w:val="Hyperlink"/>
            <w:rFonts w:ascii="Arial" w:hAnsi="Arial" w:cs="Arial"/>
            <w:sz w:val="22"/>
            <w:szCs w:val="22"/>
          </w:rPr>
          <w:t>.</w:t>
        </w:r>
      </w:hyperlink>
    </w:p>
    <w:p w:rsidR="00E401A9" w:rsidRPr="000C4CD6" w:rsidRDefault="00E401A9" w:rsidP="00E401A9">
      <w:pPr>
        <w:pStyle w:val="Heading2"/>
        <w:keepNext/>
        <w:jc w:val="left"/>
        <w:rPr>
          <w:rFonts w:cs="Arial"/>
        </w:rPr>
      </w:pPr>
      <w:r w:rsidRPr="000C4CD6">
        <w:rPr>
          <w:rFonts w:cs="Arial"/>
        </w:rPr>
        <w:t xml:space="preserve">Submissions </w:t>
      </w:r>
    </w:p>
    <w:p w:rsidR="00E401A9" w:rsidRPr="000C4CD6" w:rsidRDefault="00E401A9" w:rsidP="00E401A9">
      <w:pPr>
        <w:jc w:val="left"/>
        <w:rPr>
          <w:rFonts w:ascii="Arial" w:hAnsi="Arial" w:cs="Arial"/>
          <w:sz w:val="22"/>
          <w:szCs w:val="22"/>
        </w:rPr>
      </w:pPr>
      <w:r w:rsidRPr="000C4CD6">
        <w:rPr>
          <w:rFonts w:ascii="Arial" w:hAnsi="Arial" w:cs="Arial"/>
          <w:sz w:val="22"/>
          <w:szCs w:val="22"/>
        </w:rPr>
        <w:t>Any per</w:t>
      </w:r>
      <w:r>
        <w:rPr>
          <w:rFonts w:ascii="Arial" w:hAnsi="Arial" w:cs="Arial"/>
          <w:sz w:val="22"/>
          <w:szCs w:val="22"/>
        </w:rPr>
        <w:t>son who may be affected by the A</w:t>
      </w:r>
      <w:r w:rsidRPr="000C4CD6">
        <w:rPr>
          <w:rFonts w:ascii="Arial" w:hAnsi="Arial" w:cs="Arial"/>
          <w:sz w:val="22"/>
          <w:szCs w:val="22"/>
        </w:rPr>
        <w:t>mendment may make a submission to the planning aut</w:t>
      </w:r>
      <w:r>
        <w:rPr>
          <w:rFonts w:ascii="Arial" w:hAnsi="Arial" w:cs="Arial"/>
          <w:sz w:val="22"/>
          <w:szCs w:val="22"/>
        </w:rPr>
        <w:t>hority.  Submissions about the A</w:t>
      </w:r>
      <w:r w:rsidRPr="000C4CD6">
        <w:rPr>
          <w:rFonts w:ascii="Arial" w:hAnsi="Arial" w:cs="Arial"/>
          <w:sz w:val="22"/>
          <w:szCs w:val="22"/>
        </w:rPr>
        <w:t>mendment</w:t>
      </w:r>
      <w:r>
        <w:rPr>
          <w:rFonts w:ascii="Arial" w:hAnsi="Arial" w:cs="Arial"/>
          <w:sz w:val="22"/>
          <w:szCs w:val="22"/>
        </w:rPr>
        <w:t xml:space="preserve"> </w:t>
      </w:r>
      <w:r w:rsidRPr="000C4CD6">
        <w:rPr>
          <w:rFonts w:ascii="Arial" w:hAnsi="Arial" w:cs="Arial"/>
          <w:sz w:val="22"/>
          <w:szCs w:val="22"/>
        </w:rPr>
        <w:t xml:space="preserve">must be received by </w:t>
      </w:r>
      <w:r w:rsidR="00D6148B">
        <w:rPr>
          <w:rFonts w:ascii="Arial" w:hAnsi="Arial" w:cs="Arial"/>
          <w:sz w:val="22"/>
          <w:szCs w:val="22"/>
        </w:rPr>
        <w:t>1 September 2017</w:t>
      </w:r>
      <w:r>
        <w:rPr>
          <w:rFonts w:ascii="Arial" w:hAnsi="Arial" w:cs="Arial"/>
          <w:sz w:val="22"/>
          <w:szCs w:val="22"/>
        </w:rPr>
        <w:t>.</w:t>
      </w:r>
    </w:p>
    <w:p w:rsidR="00E401A9" w:rsidRPr="002C592D" w:rsidRDefault="00E401A9" w:rsidP="002C592D">
      <w:pPr>
        <w:jc w:val="left"/>
        <w:rPr>
          <w:rFonts w:ascii="Arial" w:hAnsi="Arial" w:cs="Arial"/>
          <w:sz w:val="22"/>
          <w:szCs w:val="22"/>
        </w:rPr>
      </w:pPr>
      <w:r w:rsidRPr="002C592D">
        <w:rPr>
          <w:rFonts w:ascii="Arial" w:hAnsi="Arial" w:cs="Arial"/>
          <w:sz w:val="22"/>
          <w:szCs w:val="22"/>
        </w:rPr>
        <w:t xml:space="preserve">A submission must be sent to: </w:t>
      </w:r>
      <w:r w:rsidR="002C592D" w:rsidRPr="002C592D">
        <w:rPr>
          <w:rFonts w:ascii="Arial" w:hAnsi="Arial" w:cs="Arial"/>
          <w:sz w:val="22"/>
          <w:szCs w:val="22"/>
        </w:rPr>
        <w:t>Hobsons Bay City Council, PO Box 21, Altona, 3018.</w:t>
      </w:r>
    </w:p>
    <w:p w:rsidR="00E401A9" w:rsidRPr="00ED3674" w:rsidRDefault="00E401A9" w:rsidP="00E401A9">
      <w:pPr>
        <w:pStyle w:val="Heading2"/>
        <w:jc w:val="left"/>
        <w:rPr>
          <w:rFonts w:cs="Arial"/>
        </w:rPr>
      </w:pPr>
      <w:r w:rsidRPr="00ED3674">
        <w:rPr>
          <w:rFonts w:cs="Arial"/>
        </w:rPr>
        <w:t>Panel hearing dates</w:t>
      </w:r>
      <w:r>
        <w:rPr>
          <w:rFonts w:cs="Arial"/>
        </w:rPr>
        <w:t xml:space="preserve"> </w:t>
      </w:r>
    </w:p>
    <w:p w:rsidR="00E401A9" w:rsidRPr="00ED3674" w:rsidRDefault="00E401A9" w:rsidP="00E401A9">
      <w:pPr>
        <w:jc w:val="left"/>
        <w:rPr>
          <w:rFonts w:ascii="Arial" w:hAnsi="Arial" w:cs="Arial"/>
          <w:sz w:val="22"/>
          <w:szCs w:val="22"/>
        </w:rPr>
      </w:pPr>
      <w:r w:rsidRPr="00ED3674">
        <w:rPr>
          <w:rFonts w:ascii="Arial" w:hAnsi="Arial" w:cs="Arial"/>
          <w:sz w:val="22"/>
          <w:szCs w:val="22"/>
        </w:rPr>
        <w:t>In accordance with clause 4(2) of Ministerial Direction No.15 the following panel hearing dates have been set for this amendment:</w:t>
      </w:r>
    </w:p>
    <w:p w:rsidR="00E401A9" w:rsidRPr="00ED3674" w:rsidRDefault="00E401A9" w:rsidP="00E401A9">
      <w:pPr>
        <w:numPr>
          <w:ilvl w:val="0"/>
          <w:numId w:val="40"/>
        </w:numPr>
        <w:spacing w:after="120"/>
        <w:ind w:left="357" w:hanging="357"/>
        <w:jc w:val="left"/>
        <w:rPr>
          <w:rFonts w:ascii="New York" w:hAnsi="New York"/>
          <w:sz w:val="22"/>
          <w:szCs w:val="22"/>
        </w:rPr>
      </w:pPr>
      <w:r w:rsidRPr="00ED3674">
        <w:rPr>
          <w:rFonts w:ascii="Arial" w:hAnsi="Arial" w:cs="Arial"/>
          <w:sz w:val="22"/>
          <w:szCs w:val="22"/>
        </w:rPr>
        <w:t xml:space="preserve">directions hearing:  </w:t>
      </w:r>
      <w:r w:rsidR="008620C4">
        <w:rPr>
          <w:rFonts w:ascii="Arial" w:hAnsi="Arial" w:cs="Arial"/>
          <w:sz w:val="22"/>
          <w:szCs w:val="22"/>
        </w:rPr>
        <w:t xml:space="preserve">Week beginning </w:t>
      </w:r>
      <w:r w:rsidR="005911D4">
        <w:rPr>
          <w:rFonts w:ascii="Arial" w:hAnsi="Arial" w:cs="Arial"/>
          <w:sz w:val="22"/>
          <w:szCs w:val="22"/>
        </w:rPr>
        <w:t>9 October</w:t>
      </w:r>
      <w:r w:rsidR="008620C4">
        <w:rPr>
          <w:rFonts w:ascii="Arial" w:hAnsi="Arial" w:cs="Arial"/>
          <w:sz w:val="22"/>
          <w:szCs w:val="22"/>
        </w:rPr>
        <w:t xml:space="preserve"> 2017.</w:t>
      </w:r>
      <w:r w:rsidR="00852F9F">
        <w:rPr>
          <w:rFonts w:ascii="Arial" w:hAnsi="Arial" w:cs="Arial"/>
          <w:sz w:val="22"/>
          <w:szCs w:val="22"/>
        </w:rPr>
        <w:t xml:space="preserve"> </w:t>
      </w:r>
    </w:p>
    <w:p w:rsidR="00E401A9" w:rsidRPr="008620C4" w:rsidRDefault="00E401A9" w:rsidP="0084369A">
      <w:pPr>
        <w:numPr>
          <w:ilvl w:val="0"/>
          <w:numId w:val="40"/>
        </w:numPr>
        <w:spacing w:after="120"/>
        <w:ind w:left="357" w:hanging="357"/>
        <w:jc w:val="left"/>
        <w:rPr>
          <w:rFonts w:ascii="Arial" w:hAnsi="Arial" w:cs="Arial"/>
          <w:color w:val="000000" w:themeColor="text1"/>
          <w:sz w:val="22"/>
          <w:szCs w:val="22"/>
        </w:rPr>
      </w:pPr>
      <w:r w:rsidRPr="00ED3674">
        <w:rPr>
          <w:rFonts w:ascii="Arial" w:hAnsi="Arial" w:cs="Arial"/>
          <w:sz w:val="22"/>
          <w:szCs w:val="22"/>
        </w:rPr>
        <w:t xml:space="preserve">panel hearing: </w:t>
      </w:r>
      <w:r w:rsidRPr="00FB4184">
        <w:rPr>
          <w:rFonts w:ascii="Arial" w:hAnsi="Arial" w:cs="Arial"/>
          <w:color w:val="FF0000"/>
          <w:sz w:val="22"/>
          <w:szCs w:val="22"/>
        </w:rPr>
        <w:t xml:space="preserve"> </w:t>
      </w:r>
      <w:r w:rsidR="008620C4" w:rsidRPr="008620C4">
        <w:rPr>
          <w:rFonts w:ascii="Arial" w:hAnsi="Arial" w:cs="Arial"/>
          <w:color w:val="000000" w:themeColor="text1"/>
          <w:sz w:val="22"/>
          <w:szCs w:val="22"/>
        </w:rPr>
        <w:t xml:space="preserve">Week beginning </w:t>
      </w:r>
      <w:r w:rsidR="005911D4">
        <w:rPr>
          <w:rFonts w:ascii="Arial" w:hAnsi="Arial" w:cs="Arial"/>
          <w:color w:val="000000" w:themeColor="text1"/>
          <w:sz w:val="22"/>
          <w:szCs w:val="22"/>
        </w:rPr>
        <w:t>1</w:t>
      </w:r>
      <w:r w:rsidR="008620C4" w:rsidRPr="008620C4">
        <w:rPr>
          <w:rFonts w:ascii="Arial" w:hAnsi="Arial" w:cs="Arial"/>
          <w:color w:val="000000" w:themeColor="text1"/>
          <w:sz w:val="22"/>
          <w:szCs w:val="22"/>
        </w:rPr>
        <w:t xml:space="preserve">3 </w:t>
      </w:r>
      <w:r w:rsidR="005911D4">
        <w:rPr>
          <w:rFonts w:ascii="Arial" w:hAnsi="Arial" w:cs="Arial"/>
          <w:color w:val="000000" w:themeColor="text1"/>
          <w:sz w:val="22"/>
          <w:szCs w:val="22"/>
        </w:rPr>
        <w:t>November</w:t>
      </w:r>
      <w:r w:rsidR="008620C4" w:rsidRPr="008620C4">
        <w:rPr>
          <w:rFonts w:ascii="Arial" w:hAnsi="Arial" w:cs="Arial"/>
          <w:color w:val="000000" w:themeColor="text1"/>
          <w:sz w:val="22"/>
          <w:szCs w:val="22"/>
        </w:rPr>
        <w:t xml:space="preserve"> 2017</w:t>
      </w:r>
      <w:r w:rsidR="00852F9F" w:rsidRPr="008620C4">
        <w:rPr>
          <w:rFonts w:ascii="Arial" w:hAnsi="Arial" w:cs="Arial"/>
          <w:color w:val="000000" w:themeColor="text1"/>
          <w:sz w:val="22"/>
          <w:szCs w:val="22"/>
        </w:rPr>
        <w:t>.</w:t>
      </w:r>
    </w:p>
    <w:p w:rsidR="001E53D0" w:rsidRPr="00E401A9" w:rsidRDefault="001E53D0" w:rsidP="00E401A9"/>
    <w:sectPr w:rsidR="001E53D0" w:rsidRPr="00E401A9"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6A" w:rsidRDefault="0051516A">
      <w:r>
        <w:separator/>
      </w:r>
    </w:p>
  </w:endnote>
  <w:endnote w:type="continuationSeparator" w:id="0">
    <w:p w:rsidR="0051516A" w:rsidRDefault="005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F" w:rsidRDefault="00852F9F">
    <w:pPr>
      <w:pStyle w:val="Footer"/>
      <w:jc w:val="center"/>
    </w:pPr>
    <w:r>
      <w:fldChar w:fldCharType="begin"/>
    </w:r>
    <w:r>
      <w:instrText xml:space="preserve"> PAGE   \* MERGEFORMAT </w:instrText>
    </w:r>
    <w:r>
      <w:fldChar w:fldCharType="separate"/>
    </w:r>
    <w:r w:rsidR="00FB24E4">
      <w:rPr>
        <w:noProof/>
      </w:rPr>
      <w:t>7</w:t>
    </w:r>
    <w:r>
      <w:rPr>
        <w:noProof/>
      </w:rPr>
      <w:fldChar w:fldCharType="end"/>
    </w:r>
  </w:p>
  <w:p w:rsidR="00852F9F" w:rsidRDefault="0085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6A" w:rsidRDefault="0051516A">
      <w:r>
        <w:separator/>
      </w:r>
    </w:p>
  </w:footnote>
  <w:footnote w:type="continuationSeparator" w:id="0">
    <w:p w:rsidR="0051516A" w:rsidRDefault="0051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9F" w:rsidRDefault="0085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5E5DCD"/>
    <w:multiLevelType w:val="hybridMultilevel"/>
    <w:tmpl w:val="A0069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AAB1C6A"/>
    <w:multiLevelType w:val="hybridMultilevel"/>
    <w:tmpl w:val="6DB4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71E08"/>
    <w:multiLevelType w:val="hybridMultilevel"/>
    <w:tmpl w:val="90FEF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95A72"/>
    <w:multiLevelType w:val="hybridMultilevel"/>
    <w:tmpl w:val="44C6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76B00085"/>
    <w:multiLevelType w:val="singleLevel"/>
    <w:tmpl w:val="789C8126"/>
    <w:lvl w:ilvl="0">
      <w:start w:val="1"/>
      <w:numFmt w:val="decimal"/>
      <w:lvlText w:val="%1."/>
      <w:lvlJc w:val="left"/>
      <w:pPr>
        <w:tabs>
          <w:tab w:val="num" w:pos="360"/>
        </w:tabs>
        <w:ind w:left="360" w:hanging="360"/>
      </w:pPr>
    </w:lvl>
  </w:abstractNum>
  <w:abstractNum w:abstractNumId="21" w15:restartNumberingAfterBreak="0">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7BA00C20"/>
    <w:multiLevelType w:val="hybridMultilevel"/>
    <w:tmpl w:val="AA1A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2"/>
  </w:num>
  <w:num w:numId="5">
    <w:abstractNumId w:val="15"/>
  </w:num>
  <w:num w:numId="6">
    <w:abstractNumId w:val="11"/>
  </w:num>
  <w:num w:numId="7">
    <w:abstractNumId w:val="21"/>
  </w:num>
  <w:num w:numId="8">
    <w:abstractNumId w:val="19"/>
  </w:num>
  <w:num w:numId="9">
    <w:abstractNumId w:val="13"/>
  </w:num>
  <w:num w:numId="10">
    <w:abstractNumId w:val="12"/>
  </w:num>
  <w:num w:numId="11">
    <w:abstractNumId w:val="20"/>
  </w:num>
  <w:num w:numId="12">
    <w:abstractNumId w:val="0"/>
  </w:num>
  <w:num w:numId="13">
    <w:abstractNumId w:val="20"/>
  </w:num>
  <w:num w:numId="14">
    <w:abstractNumId w:val="16"/>
  </w:num>
  <w:num w:numId="15">
    <w:abstractNumId w:val="1"/>
  </w:num>
  <w:num w:numId="16">
    <w:abstractNumId w:val="3"/>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4"/>
  </w:num>
  <w:num w:numId="40">
    <w:abstractNumId w:val="4"/>
  </w:num>
  <w:num w:numId="41">
    <w:abstractNumId w:val="7"/>
  </w:num>
  <w:num w:numId="42">
    <w:abstractNumId w:val="16"/>
  </w:num>
  <w:num w:numId="43">
    <w:abstractNumId w:val="22"/>
  </w:num>
  <w:num w:numId="44">
    <w:abstractNumId w:val="9"/>
  </w:num>
  <w:num w:numId="45">
    <w:abstractNumId w:val="17"/>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7693"/>
    <w:rsid w:val="00020327"/>
    <w:rsid w:val="00023C95"/>
    <w:rsid w:val="00035AEB"/>
    <w:rsid w:val="000464A7"/>
    <w:rsid w:val="00051CF3"/>
    <w:rsid w:val="00052586"/>
    <w:rsid w:val="00055F40"/>
    <w:rsid w:val="00063365"/>
    <w:rsid w:val="00064A2F"/>
    <w:rsid w:val="000704D9"/>
    <w:rsid w:val="00073608"/>
    <w:rsid w:val="0007625D"/>
    <w:rsid w:val="00081824"/>
    <w:rsid w:val="000856CA"/>
    <w:rsid w:val="00095995"/>
    <w:rsid w:val="000A66E7"/>
    <w:rsid w:val="000C430C"/>
    <w:rsid w:val="000C4CD6"/>
    <w:rsid w:val="000E3414"/>
    <w:rsid w:val="000E7D8A"/>
    <w:rsid w:val="00104029"/>
    <w:rsid w:val="001068D8"/>
    <w:rsid w:val="00111E10"/>
    <w:rsid w:val="0011206F"/>
    <w:rsid w:val="00133270"/>
    <w:rsid w:val="00142B0A"/>
    <w:rsid w:val="0014525E"/>
    <w:rsid w:val="0016213E"/>
    <w:rsid w:val="00165FF9"/>
    <w:rsid w:val="0017548E"/>
    <w:rsid w:val="0018082E"/>
    <w:rsid w:val="00197B5B"/>
    <w:rsid w:val="001A21C9"/>
    <w:rsid w:val="001B06DB"/>
    <w:rsid w:val="001C782E"/>
    <w:rsid w:val="001D09C5"/>
    <w:rsid w:val="001E4163"/>
    <w:rsid w:val="001E53D0"/>
    <w:rsid w:val="001F1FC1"/>
    <w:rsid w:val="00205478"/>
    <w:rsid w:val="00214220"/>
    <w:rsid w:val="00217E7B"/>
    <w:rsid w:val="00224F4B"/>
    <w:rsid w:val="002355E2"/>
    <w:rsid w:val="002471D6"/>
    <w:rsid w:val="00261580"/>
    <w:rsid w:val="00261ED3"/>
    <w:rsid w:val="00276641"/>
    <w:rsid w:val="002822CF"/>
    <w:rsid w:val="00294DAE"/>
    <w:rsid w:val="002A2C96"/>
    <w:rsid w:val="002B3EB1"/>
    <w:rsid w:val="002C08D2"/>
    <w:rsid w:val="002C196C"/>
    <w:rsid w:val="002C3F0E"/>
    <w:rsid w:val="002C592D"/>
    <w:rsid w:val="002D1F07"/>
    <w:rsid w:val="002E4A8F"/>
    <w:rsid w:val="00301495"/>
    <w:rsid w:val="00304325"/>
    <w:rsid w:val="0030757B"/>
    <w:rsid w:val="0032627D"/>
    <w:rsid w:val="00337D32"/>
    <w:rsid w:val="00346AC4"/>
    <w:rsid w:val="00350E1A"/>
    <w:rsid w:val="00354750"/>
    <w:rsid w:val="003723E2"/>
    <w:rsid w:val="00385176"/>
    <w:rsid w:val="00385E61"/>
    <w:rsid w:val="003A25B7"/>
    <w:rsid w:val="003B0DBC"/>
    <w:rsid w:val="003B6F98"/>
    <w:rsid w:val="003C28E0"/>
    <w:rsid w:val="003D3452"/>
    <w:rsid w:val="003F13D4"/>
    <w:rsid w:val="0040268F"/>
    <w:rsid w:val="004202FB"/>
    <w:rsid w:val="00420A5B"/>
    <w:rsid w:val="00431FE1"/>
    <w:rsid w:val="00437138"/>
    <w:rsid w:val="0047628B"/>
    <w:rsid w:val="004823D2"/>
    <w:rsid w:val="004937F8"/>
    <w:rsid w:val="00493840"/>
    <w:rsid w:val="0049725E"/>
    <w:rsid w:val="004A651A"/>
    <w:rsid w:val="004C4242"/>
    <w:rsid w:val="004D2140"/>
    <w:rsid w:val="004F2A9F"/>
    <w:rsid w:val="004F56D4"/>
    <w:rsid w:val="005005EA"/>
    <w:rsid w:val="0051516A"/>
    <w:rsid w:val="005306C8"/>
    <w:rsid w:val="00543625"/>
    <w:rsid w:val="00543994"/>
    <w:rsid w:val="00572C76"/>
    <w:rsid w:val="00573013"/>
    <w:rsid w:val="005911D4"/>
    <w:rsid w:val="005A4411"/>
    <w:rsid w:val="005C12D1"/>
    <w:rsid w:val="005C3387"/>
    <w:rsid w:val="005C7405"/>
    <w:rsid w:val="005D1CF1"/>
    <w:rsid w:val="005D26C8"/>
    <w:rsid w:val="005D5D08"/>
    <w:rsid w:val="005F24B5"/>
    <w:rsid w:val="006109DA"/>
    <w:rsid w:val="00623B91"/>
    <w:rsid w:val="0063708B"/>
    <w:rsid w:val="00646305"/>
    <w:rsid w:val="00647B8F"/>
    <w:rsid w:val="00662D4D"/>
    <w:rsid w:val="006805BC"/>
    <w:rsid w:val="00684895"/>
    <w:rsid w:val="006932D8"/>
    <w:rsid w:val="00694464"/>
    <w:rsid w:val="006C3B6C"/>
    <w:rsid w:val="006D740D"/>
    <w:rsid w:val="006E3361"/>
    <w:rsid w:val="006E75C1"/>
    <w:rsid w:val="0070412A"/>
    <w:rsid w:val="00711237"/>
    <w:rsid w:val="0072782F"/>
    <w:rsid w:val="00727D4B"/>
    <w:rsid w:val="00727DD5"/>
    <w:rsid w:val="00741E5E"/>
    <w:rsid w:val="007458F4"/>
    <w:rsid w:val="0076706B"/>
    <w:rsid w:val="007A0E5D"/>
    <w:rsid w:val="007A4DF1"/>
    <w:rsid w:val="007B013B"/>
    <w:rsid w:val="007B140F"/>
    <w:rsid w:val="007C1C7C"/>
    <w:rsid w:val="007C31E9"/>
    <w:rsid w:val="007D670B"/>
    <w:rsid w:val="007E19E0"/>
    <w:rsid w:val="00807769"/>
    <w:rsid w:val="008122AB"/>
    <w:rsid w:val="00814A45"/>
    <w:rsid w:val="00821867"/>
    <w:rsid w:val="00822295"/>
    <w:rsid w:val="00823BB7"/>
    <w:rsid w:val="008310E5"/>
    <w:rsid w:val="00831227"/>
    <w:rsid w:val="00840CA5"/>
    <w:rsid w:val="0084369A"/>
    <w:rsid w:val="00851EEF"/>
    <w:rsid w:val="00852F9F"/>
    <w:rsid w:val="00855A78"/>
    <w:rsid w:val="008620C4"/>
    <w:rsid w:val="00867C8E"/>
    <w:rsid w:val="0087020F"/>
    <w:rsid w:val="00876BCF"/>
    <w:rsid w:val="0088336B"/>
    <w:rsid w:val="008A1D1B"/>
    <w:rsid w:val="008A5E3B"/>
    <w:rsid w:val="008B2BE9"/>
    <w:rsid w:val="008B2FB6"/>
    <w:rsid w:val="008B6ADE"/>
    <w:rsid w:val="008B7741"/>
    <w:rsid w:val="008C4DB0"/>
    <w:rsid w:val="008C7699"/>
    <w:rsid w:val="008E5673"/>
    <w:rsid w:val="008F7745"/>
    <w:rsid w:val="009079FA"/>
    <w:rsid w:val="00924A0E"/>
    <w:rsid w:val="009274C0"/>
    <w:rsid w:val="0093131B"/>
    <w:rsid w:val="00935CDE"/>
    <w:rsid w:val="00944926"/>
    <w:rsid w:val="009461BA"/>
    <w:rsid w:val="00996878"/>
    <w:rsid w:val="009A2D3F"/>
    <w:rsid w:val="009D08AF"/>
    <w:rsid w:val="009D251A"/>
    <w:rsid w:val="009D6F11"/>
    <w:rsid w:val="009D705C"/>
    <w:rsid w:val="009E5F69"/>
    <w:rsid w:val="009F2E4C"/>
    <w:rsid w:val="00A009DB"/>
    <w:rsid w:val="00A01C72"/>
    <w:rsid w:val="00A05982"/>
    <w:rsid w:val="00A06807"/>
    <w:rsid w:val="00A068E6"/>
    <w:rsid w:val="00A06993"/>
    <w:rsid w:val="00A11194"/>
    <w:rsid w:val="00A22B01"/>
    <w:rsid w:val="00A27817"/>
    <w:rsid w:val="00A52D75"/>
    <w:rsid w:val="00A642C3"/>
    <w:rsid w:val="00A7587E"/>
    <w:rsid w:val="00A852C0"/>
    <w:rsid w:val="00AB7ECC"/>
    <w:rsid w:val="00AC1043"/>
    <w:rsid w:val="00AC418E"/>
    <w:rsid w:val="00AD1558"/>
    <w:rsid w:val="00AD32D4"/>
    <w:rsid w:val="00AE6168"/>
    <w:rsid w:val="00B13591"/>
    <w:rsid w:val="00B13B0A"/>
    <w:rsid w:val="00B313E6"/>
    <w:rsid w:val="00B45B54"/>
    <w:rsid w:val="00B53E86"/>
    <w:rsid w:val="00B54B64"/>
    <w:rsid w:val="00B60940"/>
    <w:rsid w:val="00B732D5"/>
    <w:rsid w:val="00B7336A"/>
    <w:rsid w:val="00B74D9F"/>
    <w:rsid w:val="00B75180"/>
    <w:rsid w:val="00B87AF1"/>
    <w:rsid w:val="00B92DAC"/>
    <w:rsid w:val="00BB1CA4"/>
    <w:rsid w:val="00BB588F"/>
    <w:rsid w:val="00BB669E"/>
    <w:rsid w:val="00BC17A0"/>
    <w:rsid w:val="00BC596D"/>
    <w:rsid w:val="00BE15BA"/>
    <w:rsid w:val="00BE302E"/>
    <w:rsid w:val="00BE3A87"/>
    <w:rsid w:val="00BE6FD3"/>
    <w:rsid w:val="00BF70B3"/>
    <w:rsid w:val="00C0606D"/>
    <w:rsid w:val="00C10F3F"/>
    <w:rsid w:val="00C3687E"/>
    <w:rsid w:val="00C457D9"/>
    <w:rsid w:val="00C537D1"/>
    <w:rsid w:val="00C613C5"/>
    <w:rsid w:val="00C77483"/>
    <w:rsid w:val="00C93B2C"/>
    <w:rsid w:val="00CB1EBA"/>
    <w:rsid w:val="00CB3222"/>
    <w:rsid w:val="00CC60C3"/>
    <w:rsid w:val="00CD1B93"/>
    <w:rsid w:val="00CD5C7E"/>
    <w:rsid w:val="00CD6491"/>
    <w:rsid w:val="00CD64B8"/>
    <w:rsid w:val="00CE4372"/>
    <w:rsid w:val="00D1691B"/>
    <w:rsid w:val="00D2003D"/>
    <w:rsid w:val="00D23580"/>
    <w:rsid w:val="00D26C80"/>
    <w:rsid w:val="00D26ECE"/>
    <w:rsid w:val="00D33E24"/>
    <w:rsid w:val="00D361A8"/>
    <w:rsid w:val="00D6148B"/>
    <w:rsid w:val="00D90777"/>
    <w:rsid w:val="00DA0679"/>
    <w:rsid w:val="00DC5939"/>
    <w:rsid w:val="00DD563A"/>
    <w:rsid w:val="00DE5C1C"/>
    <w:rsid w:val="00E07AF5"/>
    <w:rsid w:val="00E144CC"/>
    <w:rsid w:val="00E206FB"/>
    <w:rsid w:val="00E37292"/>
    <w:rsid w:val="00E401A9"/>
    <w:rsid w:val="00E41963"/>
    <w:rsid w:val="00E4686B"/>
    <w:rsid w:val="00E61D20"/>
    <w:rsid w:val="00E670BD"/>
    <w:rsid w:val="00E744E0"/>
    <w:rsid w:val="00E85EC7"/>
    <w:rsid w:val="00EA5451"/>
    <w:rsid w:val="00EB48D3"/>
    <w:rsid w:val="00ED3674"/>
    <w:rsid w:val="00ED49CF"/>
    <w:rsid w:val="00EE21EB"/>
    <w:rsid w:val="00F27102"/>
    <w:rsid w:val="00F42783"/>
    <w:rsid w:val="00F7264E"/>
    <w:rsid w:val="00F84A22"/>
    <w:rsid w:val="00F92B15"/>
    <w:rsid w:val="00F97299"/>
    <w:rsid w:val="00FB24E4"/>
    <w:rsid w:val="00FB78ED"/>
    <w:rsid w:val="00FC1717"/>
    <w:rsid w:val="00FC2777"/>
    <w:rsid w:val="00FC2944"/>
    <w:rsid w:val="00FC3844"/>
    <w:rsid w:val="00FC62CF"/>
    <w:rsid w:val="00FD28E4"/>
    <w:rsid w:val="00FE3326"/>
    <w:rsid w:val="00FE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0D2D3E-0FC1-422E-9227-FF7FF1E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styleId="ListParagraph">
    <w:name w:val="List Paragraph"/>
    <w:basedOn w:val="Normal"/>
    <w:uiPriority w:val="34"/>
    <w:qFormat/>
    <w:rsid w:val="00350E1A"/>
    <w:pPr>
      <w:ind w:left="720"/>
      <w:contextualSpacing/>
    </w:pPr>
  </w:style>
  <w:style w:type="character" w:customStyle="1" w:styleId="FooterChar">
    <w:name w:val="Footer Char"/>
    <w:link w:val="Footer"/>
    <w:uiPriority w:val="99"/>
    <w:rsid w:val="00852F9F"/>
    <w:rPr>
      <w:rFonts w:ascii="Times" w:hAnsi="Time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tpli.vic.gov.au/planning/planning-schemes/changing-the-planning-scheme/planning-documents-on-exhib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gpmis\PSMR%20Planning%20System%20Reform\Amendment%20model\Amendments%20online\Std%20docs%20&amp;%20templates\Explanato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A2644499</value>
    </field>
    <field name="Objective-Title">
      <value order="0">2a Hobsons Bay C88 Explanatory Report Exhibition</value>
    </field>
    <field name="Objective-Description">
      <value order="0"/>
    </field>
    <field name="Objective-CreationStamp">
      <value order="0">2017-06-02T00:50:46Z</value>
    </field>
    <field name="Objective-IsApproved">
      <value order="0">false</value>
    </field>
    <field name="Objective-IsPublished">
      <value order="0">true</value>
    </field>
    <field name="Objective-DatePublished">
      <value order="0">2017-06-14T23:27:24Z</value>
    </field>
    <field name="Objective-ModificationStamp">
      <value order="0">2017-06-14T23:46:36Z</value>
    </field>
    <field name="Objective-Owner">
      <value order="0">Justin Burgess</value>
    </field>
    <field name="Objective-Path">
      <value order="0">Objective Global Folder:.Strategy and Advocacy:Landuse and Development:Amendments C00 - C99:Amendment C88 - Precinct 15 - Former Don Site, Altona North:04. Exhibition - Amendment C88 - Precinct 15 - Former Don Site, Altona North</value>
    </field>
    <field name="Objective-Parent">
      <value order="0">04. Exhibition - Amendment C88 - Precinct 15 - Former Don Site, Altona North</value>
    </field>
    <field name="Objective-State">
      <value order="0">Published</value>
    </field>
    <field name="Objective-VersionId">
      <value order="0">vA4036173</value>
    </field>
    <field name="Objective-Version">
      <value order="0">1.0</value>
    </field>
    <field name="Objective-VersionNumber">
      <value order="0">1</value>
    </field>
    <field name="Objective-VersionComment">
      <value order="0"/>
    </field>
    <field name="Objective-FileNumber">
      <value order="0">qA163214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34F3B592-8760-4C58-ACBE-F8C85692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report</Template>
  <TotalTime>0</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17387</CharactersWithSpaces>
  <SharedDoc>false</SharedDoc>
  <HLinks>
    <vt:vector size="18" baseType="variant">
      <vt:variant>
        <vt:i4>2490428</vt:i4>
      </vt:variant>
      <vt:variant>
        <vt:i4>6</vt:i4>
      </vt:variant>
      <vt:variant>
        <vt:i4>0</vt:i4>
      </vt:variant>
      <vt:variant>
        <vt:i4>5</vt:i4>
      </vt:variant>
      <vt:variant>
        <vt:lpwstr>http://www.dtpli.vic.gov.au/planning/planning-schemes/changing-the-planning-scheme/planning-documents-on-exhibition</vt:lpwstr>
      </vt:variant>
      <vt:variant>
        <vt:lpwstr/>
      </vt:variant>
      <vt:variant>
        <vt:i4>6815857</vt:i4>
      </vt:variant>
      <vt:variant>
        <vt:i4>3</vt:i4>
      </vt:variant>
      <vt:variant>
        <vt:i4>0</vt:i4>
      </vt:variant>
      <vt:variant>
        <vt:i4>5</vt:i4>
      </vt:variant>
      <vt:variant>
        <vt:lpwstr>http://www.dtpli.vic.gov.au/__data/assets/pdf_file/0007/258487/PPN46-Strategic-Assessment-Guidelines_June-2015.pdf</vt:lpwstr>
      </vt:variant>
      <vt:variant>
        <vt:lpwstr/>
      </vt:variant>
      <vt:variant>
        <vt:i4>7143502</vt:i4>
      </vt:variant>
      <vt:variant>
        <vt:i4>0</vt:i4>
      </vt:variant>
      <vt:variant>
        <vt:i4>0</vt:i4>
      </vt:variant>
      <vt:variant>
        <vt:i4>5</vt:i4>
      </vt:variant>
      <vt:variant>
        <vt:lpwstr>http://www.dtpli.vic.gov.au/__data/assets/word_doc/0016/231217/v1_T133I_Use_of_standard_terms_for_the_Explanatory_report_and_application_forms-1-May-2013.doc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subject/>
  <dc:creator>de Saram</dc:creator>
  <cp:keywords/>
  <cp:lastModifiedBy>Hobsons Bay </cp:lastModifiedBy>
  <cp:revision>2</cp:revision>
  <cp:lastPrinted>2013-03-27T03:23:00Z</cp:lastPrinted>
  <dcterms:created xsi:type="dcterms:W3CDTF">2017-06-29T08:25:00Z</dcterms:created>
  <dcterms:modified xsi:type="dcterms:W3CDTF">2017-06-29T08:25:00Z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A2644499</vt:lpwstr>
  </property>
  <property fmtid="{D5CDD505-2E9C-101B-9397-08002B2CF9AE}" pid="4" name="Objective-Title">
    <vt:lpwstr>2a Hobsons Bay C88 Explanatory Report Exhibition</vt:lpwstr>
  </property>
  <property fmtid="{D5CDD505-2E9C-101B-9397-08002B2CF9AE}" pid="5" name="Objective-Comment">
    <vt:lpwstr/>
  </property>
  <property fmtid="{D5CDD505-2E9C-101B-9397-08002B2CF9AE}" pid="6" name="Objective-CreationStamp">
    <vt:filetime>2017-06-14T23:27:23Z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2017-06-14T23:27:24Z</vt:filetime>
  </property>
  <property fmtid="{D5CDD505-2E9C-101B-9397-08002B2CF9AE}" pid="10" name="Objective-ModificationStamp">
    <vt:filetime>2017-06-15T00:15:32Z</vt:filetime>
  </property>
  <property fmtid="{D5CDD505-2E9C-101B-9397-08002B2CF9AE}" pid="11" name="Objective-Owner">
    <vt:lpwstr>Justin Burgess</vt:lpwstr>
  </property>
  <property fmtid="{D5CDD505-2E9C-101B-9397-08002B2CF9AE}" pid="12" name="Objective-Path">
    <vt:lpwstr>Objective Global Folder:.Strategy and Advocacy:Landuse and Development:Amendments C00 - C99:Amendment C88 - Precinct 15 - Former Don Site, Altona North:04. Exhibition - Amendment C88 - Precinct 15 - Former Don Site, Altona North:</vt:lpwstr>
  </property>
  <property fmtid="{D5CDD505-2E9C-101B-9397-08002B2CF9AE}" pid="13" name="Objective-Parent">
    <vt:lpwstr>04. Exhibition - Amendment C88 - Precinct 15 - Former Don Site, Altona North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A2640827.7</vt:lpwstr>
  </property>
  <property fmtid="{D5CDD505-2E9C-101B-9397-08002B2CF9AE}" pid="18" name="Objective-FileNumber">
    <vt:lpwstr>qA163214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vA4036173</vt:lpwstr>
  </property>
  <property fmtid="{D5CDD505-2E9C-101B-9397-08002B2CF9AE}" pid="25" name="Objective-Business Unit">
    <vt:lpwstr/>
  </property>
  <property fmtid="{D5CDD505-2E9C-101B-9397-08002B2CF9AE}" pid="26" name="Objective-Document Type">
    <vt:lpwstr/>
  </property>
</Properties>
</file>